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79A50" w14:textId="4685CA75" w:rsidR="00335AF3" w:rsidRDefault="0016397C">
      <w:r>
        <w:rPr>
          <w:noProof/>
        </w:rPr>
        <w:drawing>
          <wp:anchor distT="0" distB="0" distL="114300" distR="114300" simplePos="0" relativeHeight="251659264" behindDoc="0" locked="0" layoutInCell="1" allowOverlap="1" wp14:anchorId="3AFC95D8" wp14:editId="2E96CF34">
            <wp:simplePos x="0" y="0"/>
            <wp:positionH relativeFrom="column">
              <wp:posOffset>1828800</wp:posOffset>
            </wp:positionH>
            <wp:positionV relativeFrom="paragraph">
              <wp:posOffset>19050</wp:posOffset>
            </wp:positionV>
            <wp:extent cx="1739900" cy="552450"/>
            <wp:effectExtent l="0" t="0" r="0" b="0"/>
            <wp:wrapNone/>
            <wp:docPr id="5" name="Picture 5" descr="KIRKLEES logo du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RKLEES logo duotone"/>
                    <pic:cNvPicPr>
                      <a:picLocks noChangeAspect="1" noChangeArrowheads="1"/>
                    </pic:cNvPicPr>
                  </pic:nvPicPr>
                  <pic:blipFill>
                    <a:blip r:embed="rId7" cstate="print"/>
                    <a:srcRect/>
                    <a:stretch>
                      <a:fillRect/>
                    </a:stretch>
                  </pic:blipFill>
                  <pic:spPr bwMode="auto">
                    <a:xfrm>
                      <a:off x="0" y="0"/>
                      <a:ext cx="1739900" cy="5524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7384A4E" wp14:editId="2EDAA3C5">
            <wp:simplePos x="0" y="0"/>
            <wp:positionH relativeFrom="column">
              <wp:posOffset>3721100</wp:posOffset>
            </wp:positionH>
            <wp:positionV relativeFrom="paragraph">
              <wp:posOffset>0</wp:posOffset>
            </wp:positionV>
            <wp:extent cx="1998345" cy="855980"/>
            <wp:effectExtent l="0" t="0" r="1905" b="1270"/>
            <wp:wrapThrough wrapText="bothSides">
              <wp:wrapPolygon edited="0">
                <wp:start x="0" y="0"/>
                <wp:lineTo x="0" y="21151"/>
                <wp:lineTo x="21415" y="21151"/>
                <wp:lineTo x="21415" y="0"/>
                <wp:lineTo x="0" y="0"/>
              </wp:wrapPolygon>
            </wp:wrapThrough>
            <wp:docPr id="3" name="Picture 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345" cy="855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D8AA086" wp14:editId="3A3D0F0B">
            <wp:extent cx="1722120" cy="657225"/>
            <wp:effectExtent l="19050" t="0" r="0" b="0"/>
            <wp:docPr id="1" name="Picture 1" descr="calderda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derdale logo"/>
                    <pic:cNvPicPr>
                      <a:picLocks noChangeAspect="1" noChangeArrowheads="1"/>
                    </pic:cNvPicPr>
                  </pic:nvPicPr>
                  <pic:blipFill>
                    <a:blip r:embed="rId9" cstate="print"/>
                    <a:srcRect/>
                    <a:stretch>
                      <a:fillRect/>
                    </a:stretch>
                  </pic:blipFill>
                  <pic:spPr bwMode="auto">
                    <a:xfrm>
                      <a:off x="0" y="0"/>
                      <a:ext cx="1722120" cy="657225"/>
                    </a:xfrm>
                    <a:prstGeom prst="rect">
                      <a:avLst/>
                    </a:prstGeom>
                    <a:noFill/>
                    <a:ln w="9525">
                      <a:noFill/>
                      <a:miter lim="800000"/>
                      <a:headEnd/>
                      <a:tailEnd/>
                    </a:ln>
                  </pic:spPr>
                </pic:pic>
              </a:graphicData>
            </a:graphic>
          </wp:inline>
        </w:drawing>
      </w:r>
      <w:r>
        <w:t xml:space="preserve">      </w:t>
      </w:r>
    </w:p>
    <w:tbl>
      <w:tblPr>
        <w:tblStyle w:val="TableGrid"/>
        <w:tblW w:w="0" w:type="auto"/>
        <w:tblLook w:val="04A0" w:firstRow="1" w:lastRow="0" w:firstColumn="1" w:lastColumn="0" w:noHBand="0" w:noVBand="1"/>
      </w:tblPr>
      <w:tblGrid>
        <w:gridCol w:w="9016"/>
      </w:tblGrid>
      <w:tr w:rsidR="0016397C" w14:paraId="1C0DA524" w14:textId="77777777" w:rsidTr="0016397C">
        <w:tc>
          <w:tcPr>
            <w:tcW w:w="9016" w:type="dxa"/>
            <w:tcBorders>
              <w:left w:val="nil"/>
              <w:right w:val="nil"/>
            </w:tcBorders>
            <w:shd w:val="clear" w:color="auto" w:fill="auto"/>
          </w:tcPr>
          <w:p w14:paraId="302F2791" w14:textId="77777777" w:rsidR="0016397C" w:rsidRPr="00C4661C" w:rsidRDefault="0016397C" w:rsidP="00472311">
            <w:pPr>
              <w:jc w:val="center"/>
              <w:rPr>
                <w:b/>
                <w:bCs/>
                <w:sz w:val="28"/>
                <w:szCs w:val="28"/>
              </w:rPr>
            </w:pPr>
          </w:p>
        </w:tc>
      </w:tr>
      <w:tr w:rsidR="00472311" w14:paraId="156D34D5" w14:textId="77777777" w:rsidTr="00472311">
        <w:tc>
          <w:tcPr>
            <w:tcW w:w="9016" w:type="dxa"/>
            <w:shd w:val="clear" w:color="auto" w:fill="F2F2F2" w:themeFill="background1" w:themeFillShade="F2"/>
          </w:tcPr>
          <w:p w14:paraId="46B08450" w14:textId="4F01AE41" w:rsidR="00472311" w:rsidRPr="00014159" w:rsidRDefault="00C4661C" w:rsidP="00472311">
            <w:pPr>
              <w:jc w:val="center"/>
              <w:rPr>
                <w:b/>
                <w:bCs/>
                <w:sz w:val="28"/>
                <w:szCs w:val="28"/>
              </w:rPr>
            </w:pPr>
            <w:r w:rsidRPr="00014159">
              <w:rPr>
                <w:b/>
                <w:bCs/>
                <w:sz w:val="28"/>
                <w:szCs w:val="28"/>
              </w:rPr>
              <w:t xml:space="preserve">Accepted </w:t>
            </w:r>
            <w:r w:rsidR="00472311" w:rsidRPr="00014159">
              <w:rPr>
                <w:b/>
                <w:bCs/>
                <w:sz w:val="28"/>
                <w:szCs w:val="28"/>
              </w:rPr>
              <w:t>Precedents</w:t>
            </w:r>
          </w:p>
          <w:p w14:paraId="24596B11" w14:textId="0AFA7D95" w:rsidR="00472311" w:rsidRPr="00472311" w:rsidRDefault="00472311" w:rsidP="00472311">
            <w:pPr>
              <w:jc w:val="center"/>
              <w:rPr>
                <w:b/>
                <w:bCs/>
                <w:sz w:val="24"/>
                <w:szCs w:val="24"/>
              </w:rPr>
            </w:pPr>
          </w:p>
        </w:tc>
      </w:tr>
    </w:tbl>
    <w:tbl>
      <w:tblPr>
        <w:tblStyle w:val="TableGrid"/>
        <w:tblpPr w:leftFromText="180" w:rightFromText="180" w:vertAnchor="text" w:horzAnchor="margin" w:tblpY="-624"/>
        <w:tblW w:w="0" w:type="auto"/>
        <w:tblLook w:val="04A0" w:firstRow="1" w:lastRow="0" w:firstColumn="1" w:lastColumn="0" w:noHBand="0" w:noVBand="1"/>
      </w:tblPr>
      <w:tblGrid>
        <w:gridCol w:w="9016"/>
      </w:tblGrid>
      <w:tr w:rsidR="00014159" w:rsidRPr="00014159" w14:paraId="14A4EEC0" w14:textId="77777777" w:rsidTr="0016397C">
        <w:trPr>
          <w:trHeight w:val="1124"/>
        </w:trPr>
        <w:tc>
          <w:tcPr>
            <w:tcW w:w="9016" w:type="dxa"/>
            <w:shd w:val="clear" w:color="auto" w:fill="F2F2F2" w:themeFill="background1" w:themeFillShade="F2"/>
          </w:tcPr>
          <w:p w14:paraId="236CA9C5" w14:textId="77777777" w:rsidR="0016397C" w:rsidRPr="00014159" w:rsidRDefault="0016397C" w:rsidP="0016397C">
            <w:pPr>
              <w:jc w:val="center"/>
              <w:rPr>
                <w:b/>
                <w:bCs/>
                <w:sz w:val="40"/>
                <w:szCs w:val="40"/>
              </w:rPr>
            </w:pPr>
            <w:r w:rsidRPr="00014159">
              <w:rPr>
                <w:b/>
                <w:bCs/>
                <w:sz w:val="40"/>
                <w:szCs w:val="40"/>
              </w:rPr>
              <w:t xml:space="preserve">Calderdale, </w:t>
            </w:r>
            <w:proofErr w:type="gramStart"/>
            <w:r w:rsidRPr="00014159">
              <w:rPr>
                <w:b/>
                <w:bCs/>
                <w:sz w:val="40"/>
                <w:szCs w:val="40"/>
              </w:rPr>
              <w:t>Kirklees</w:t>
            </w:r>
            <w:proofErr w:type="gramEnd"/>
            <w:r w:rsidRPr="00014159">
              <w:rPr>
                <w:b/>
                <w:bCs/>
                <w:sz w:val="40"/>
                <w:szCs w:val="40"/>
              </w:rPr>
              <w:t xml:space="preserve"> and Wakefield </w:t>
            </w:r>
          </w:p>
          <w:p w14:paraId="786C5D0D" w14:textId="7790BFE0" w:rsidR="0016397C" w:rsidRPr="00014159" w:rsidRDefault="0016397C" w:rsidP="0016397C">
            <w:pPr>
              <w:jc w:val="center"/>
              <w:rPr>
                <w:b/>
                <w:bCs/>
                <w:sz w:val="40"/>
                <w:szCs w:val="40"/>
              </w:rPr>
            </w:pPr>
            <w:r w:rsidRPr="00014159">
              <w:rPr>
                <w:b/>
                <w:bCs/>
                <w:sz w:val="40"/>
                <w:szCs w:val="40"/>
              </w:rPr>
              <w:t xml:space="preserve">Cross Boundary </w:t>
            </w:r>
            <w:r w:rsidR="0058352B">
              <w:rPr>
                <w:b/>
                <w:bCs/>
                <w:sz w:val="40"/>
                <w:szCs w:val="40"/>
              </w:rPr>
              <w:t>Agreement</w:t>
            </w:r>
          </w:p>
          <w:p w14:paraId="703AA3A5" w14:textId="77777777" w:rsidR="0016397C" w:rsidRPr="00014159" w:rsidRDefault="0016397C" w:rsidP="0016397C"/>
        </w:tc>
      </w:tr>
    </w:tbl>
    <w:p w14:paraId="33A0C587" w14:textId="76FCF5EE" w:rsidR="00CD0A36" w:rsidRPr="00014159" w:rsidRDefault="00CD0A36" w:rsidP="000856F4">
      <w:pPr>
        <w:pStyle w:val="DefaultText"/>
        <w:numPr>
          <w:ilvl w:val="0"/>
          <w:numId w:val="17"/>
        </w:numPr>
        <w:jc w:val="both"/>
        <w:rPr>
          <w:rFonts w:ascii="Calibri" w:hAnsi="Calibri" w:cs="Calibri"/>
          <w:szCs w:val="24"/>
        </w:rPr>
      </w:pPr>
      <w:r w:rsidRPr="00014159">
        <w:rPr>
          <w:rFonts w:ascii="Calibri" w:hAnsi="Calibri" w:cs="Calibri"/>
          <w:szCs w:val="24"/>
        </w:rPr>
        <w:t xml:space="preserve">This agreement only applies to </w:t>
      </w:r>
      <w:r w:rsidR="000856F4" w:rsidRPr="00014159">
        <w:rPr>
          <w:rFonts w:ascii="Calibri" w:hAnsi="Calibri" w:cs="Calibri"/>
          <w:szCs w:val="24"/>
        </w:rPr>
        <w:t xml:space="preserve">the Local Authorities of </w:t>
      </w:r>
      <w:r w:rsidRPr="00014159">
        <w:rPr>
          <w:rFonts w:ascii="Calibri" w:hAnsi="Calibri" w:cs="Calibri"/>
          <w:szCs w:val="24"/>
        </w:rPr>
        <w:t xml:space="preserve">Calderdale, </w:t>
      </w:r>
      <w:proofErr w:type="gramStart"/>
      <w:r w:rsidRPr="00014159">
        <w:rPr>
          <w:rFonts w:ascii="Calibri" w:hAnsi="Calibri" w:cs="Calibri"/>
          <w:szCs w:val="24"/>
        </w:rPr>
        <w:t>Kirklees</w:t>
      </w:r>
      <w:proofErr w:type="gramEnd"/>
      <w:r w:rsidRPr="00014159">
        <w:rPr>
          <w:rFonts w:ascii="Calibri" w:hAnsi="Calibri" w:cs="Calibri"/>
          <w:szCs w:val="24"/>
        </w:rPr>
        <w:t xml:space="preserve"> and Wakefield (CKW)</w:t>
      </w:r>
      <w:r w:rsidR="007F050A" w:rsidRPr="00014159">
        <w:rPr>
          <w:rFonts w:ascii="Calibri" w:hAnsi="Calibri" w:cs="Calibri"/>
          <w:szCs w:val="24"/>
        </w:rPr>
        <w:t xml:space="preserve"> and residents of CKW</w:t>
      </w:r>
      <w:r w:rsidRPr="00014159">
        <w:rPr>
          <w:rFonts w:ascii="Calibri" w:hAnsi="Calibri" w:cs="Calibri"/>
          <w:szCs w:val="24"/>
        </w:rPr>
        <w:t xml:space="preserve">. </w:t>
      </w:r>
    </w:p>
    <w:p w14:paraId="6173A657" w14:textId="77777777" w:rsidR="00872CF2" w:rsidRPr="00014159" w:rsidRDefault="00872CF2" w:rsidP="00872CF2">
      <w:pPr>
        <w:pStyle w:val="DefaultText"/>
        <w:ind w:left="720"/>
        <w:jc w:val="both"/>
        <w:rPr>
          <w:rFonts w:ascii="Calibri" w:hAnsi="Calibri" w:cs="Calibri"/>
          <w:szCs w:val="24"/>
        </w:rPr>
      </w:pPr>
    </w:p>
    <w:p w14:paraId="1D64FB6D" w14:textId="3FB3F182" w:rsidR="007F050A" w:rsidRPr="00014159" w:rsidRDefault="007F050A" w:rsidP="007F050A">
      <w:pPr>
        <w:pStyle w:val="DefaultText"/>
        <w:numPr>
          <w:ilvl w:val="0"/>
          <w:numId w:val="17"/>
        </w:numPr>
        <w:jc w:val="both"/>
        <w:rPr>
          <w:rFonts w:ascii="Calibri" w:hAnsi="Calibri" w:cs="Calibri"/>
          <w:szCs w:val="24"/>
        </w:rPr>
      </w:pPr>
      <w:r w:rsidRPr="00014159">
        <w:rPr>
          <w:rFonts w:ascii="Calibri" w:hAnsi="Calibri" w:cs="Calibri"/>
          <w:szCs w:val="24"/>
        </w:rPr>
        <w:t xml:space="preserve">For all assessment requests where P is not a resident of CKW, responsibility to consider the assessment lays with the LA where P is at the time the assessment is convened. </w:t>
      </w:r>
    </w:p>
    <w:p w14:paraId="64409227" w14:textId="77777777" w:rsidR="00014159" w:rsidRPr="00014159" w:rsidRDefault="00014159" w:rsidP="00014159">
      <w:pPr>
        <w:pStyle w:val="DefaultText"/>
        <w:ind w:left="720"/>
        <w:jc w:val="both"/>
        <w:rPr>
          <w:rFonts w:ascii="Calibri" w:hAnsi="Calibri" w:cs="Calibri"/>
          <w:szCs w:val="24"/>
        </w:rPr>
      </w:pPr>
    </w:p>
    <w:p w14:paraId="6AA17089" w14:textId="4E671940" w:rsidR="00014159" w:rsidRPr="00014159" w:rsidRDefault="00014159" w:rsidP="00014159">
      <w:pPr>
        <w:pStyle w:val="DefaultText"/>
        <w:numPr>
          <w:ilvl w:val="0"/>
          <w:numId w:val="17"/>
        </w:numPr>
        <w:jc w:val="both"/>
        <w:rPr>
          <w:rFonts w:ascii="Calibri" w:hAnsi="Calibri" w:cs="Calibri"/>
          <w:szCs w:val="24"/>
        </w:rPr>
      </w:pPr>
      <w:r w:rsidRPr="00014159">
        <w:rPr>
          <w:rFonts w:ascii="Calibri" w:hAnsi="Calibri" w:cs="Calibri"/>
          <w:szCs w:val="24"/>
        </w:rPr>
        <w:t xml:space="preserve">It is agreed that if an assessment is requested, that the home LA is authorised to act on behalf of the LA where the person is currently, </w:t>
      </w:r>
      <w:proofErr w:type="gramStart"/>
      <w:r w:rsidRPr="00014159">
        <w:rPr>
          <w:rFonts w:ascii="Calibri" w:hAnsi="Calibri" w:cs="Calibri"/>
          <w:szCs w:val="24"/>
        </w:rPr>
        <w:t>in order to</w:t>
      </w:r>
      <w:proofErr w:type="gramEnd"/>
      <w:r w:rsidRPr="00014159">
        <w:rPr>
          <w:rFonts w:ascii="Calibri" w:hAnsi="Calibri" w:cs="Calibri"/>
          <w:szCs w:val="24"/>
        </w:rPr>
        <w:t xml:space="preserve"> comply with legislation in s.13 MHA 83</w:t>
      </w:r>
    </w:p>
    <w:p w14:paraId="4AB22B08" w14:textId="77777777" w:rsidR="00872CF2" w:rsidRPr="00014159" w:rsidRDefault="00872CF2" w:rsidP="00872CF2">
      <w:pPr>
        <w:pStyle w:val="DefaultText"/>
        <w:jc w:val="both"/>
        <w:rPr>
          <w:rFonts w:ascii="Calibri" w:hAnsi="Calibri" w:cs="Calibri"/>
          <w:szCs w:val="24"/>
        </w:rPr>
      </w:pPr>
    </w:p>
    <w:p w14:paraId="20FC5DF5" w14:textId="480DC2D0" w:rsidR="007F050A" w:rsidRPr="00014159" w:rsidRDefault="007F050A" w:rsidP="000856F4">
      <w:pPr>
        <w:pStyle w:val="DefaultText"/>
        <w:numPr>
          <w:ilvl w:val="0"/>
          <w:numId w:val="17"/>
        </w:numPr>
        <w:jc w:val="both"/>
        <w:rPr>
          <w:rFonts w:ascii="Calibri" w:hAnsi="Calibri" w:cs="Calibri"/>
          <w:szCs w:val="24"/>
        </w:rPr>
      </w:pPr>
      <w:r w:rsidRPr="00014159">
        <w:rPr>
          <w:rFonts w:ascii="Calibri" w:hAnsi="Calibri" w:cs="Calibri"/>
          <w:szCs w:val="24"/>
        </w:rPr>
        <w:t xml:space="preserve">Legal paperwork s2 - The LA on whose behalf the assessment is undertaken is always geographically based, </w:t>
      </w:r>
      <w:proofErr w:type="spellStart"/>
      <w:r w:rsidRPr="00014159">
        <w:rPr>
          <w:rFonts w:ascii="Calibri" w:hAnsi="Calibri" w:cs="Calibri"/>
          <w:szCs w:val="24"/>
        </w:rPr>
        <w:t>ie</w:t>
      </w:r>
      <w:proofErr w:type="spellEnd"/>
      <w:r w:rsidRPr="00014159">
        <w:rPr>
          <w:rFonts w:ascii="Calibri" w:hAnsi="Calibri" w:cs="Calibri"/>
          <w:szCs w:val="24"/>
        </w:rPr>
        <w:t xml:space="preserve"> where P is at the time of the assessment. </w:t>
      </w:r>
    </w:p>
    <w:p w14:paraId="52F76EB1" w14:textId="77777777" w:rsidR="00872CF2" w:rsidRPr="00014159" w:rsidRDefault="00872CF2" w:rsidP="00872CF2">
      <w:pPr>
        <w:pStyle w:val="DefaultText"/>
        <w:jc w:val="both"/>
        <w:rPr>
          <w:rFonts w:ascii="Calibri" w:hAnsi="Calibri" w:cs="Calibri"/>
          <w:szCs w:val="24"/>
        </w:rPr>
      </w:pPr>
    </w:p>
    <w:p w14:paraId="6B8C6265" w14:textId="36F55E21" w:rsidR="007F050A" w:rsidRPr="00014159" w:rsidRDefault="007F050A" w:rsidP="000856F4">
      <w:pPr>
        <w:pStyle w:val="DefaultText"/>
        <w:numPr>
          <w:ilvl w:val="0"/>
          <w:numId w:val="17"/>
        </w:numPr>
        <w:jc w:val="both"/>
        <w:rPr>
          <w:rFonts w:ascii="Calibri" w:hAnsi="Calibri" w:cs="Calibri"/>
          <w:szCs w:val="24"/>
        </w:rPr>
      </w:pPr>
      <w:r w:rsidRPr="00014159">
        <w:rPr>
          <w:rFonts w:ascii="Calibri" w:hAnsi="Calibri" w:cs="Calibri"/>
          <w:szCs w:val="24"/>
        </w:rPr>
        <w:t xml:space="preserve">Legal Paperwork s3 – </w:t>
      </w:r>
      <w:r w:rsidR="00A8767B" w:rsidRPr="00014159">
        <w:rPr>
          <w:rFonts w:ascii="Calibri" w:hAnsi="Calibri" w:cs="Calibri"/>
          <w:szCs w:val="24"/>
        </w:rPr>
        <w:t xml:space="preserve">under s13 (1B) and (1C) </w:t>
      </w:r>
      <w:r w:rsidRPr="00014159">
        <w:rPr>
          <w:rFonts w:ascii="Calibri" w:hAnsi="Calibri" w:cs="Calibri"/>
          <w:szCs w:val="24"/>
        </w:rPr>
        <w:t xml:space="preserve">this </w:t>
      </w:r>
      <w:r w:rsidR="00A8767B" w:rsidRPr="00014159">
        <w:rPr>
          <w:rFonts w:ascii="Calibri" w:hAnsi="Calibri" w:cs="Calibri"/>
          <w:szCs w:val="24"/>
        </w:rPr>
        <w:t xml:space="preserve">is on behalf of the LA identified on the s2 legal paperwork. In practice, it is agreed that the </w:t>
      </w:r>
      <w:r w:rsidRPr="00014159">
        <w:rPr>
          <w:rFonts w:ascii="Calibri" w:hAnsi="Calibri" w:cs="Calibri"/>
          <w:szCs w:val="24"/>
        </w:rPr>
        <w:t xml:space="preserve">responsibility to undertake the assessment follows the Cross Boundary Agreement guidance </w:t>
      </w:r>
      <w:r w:rsidR="00A8767B" w:rsidRPr="00014159">
        <w:rPr>
          <w:rFonts w:ascii="Calibri" w:hAnsi="Calibri" w:cs="Calibri"/>
          <w:szCs w:val="24"/>
        </w:rPr>
        <w:t>below</w:t>
      </w:r>
      <w:r w:rsidRPr="00014159">
        <w:rPr>
          <w:rFonts w:ascii="Calibri" w:hAnsi="Calibri" w:cs="Calibri"/>
          <w:szCs w:val="24"/>
        </w:rPr>
        <w:t xml:space="preserve">. </w:t>
      </w:r>
      <w:r w:rsidR="00014159" w:rsidRPr="00014159">
        <w:rPr>
          <w:rFonts w:ascii="Calibri" w:hAnsi="Calibri" w:cs="Calibri"/>
          <w:szCs w:val="24"/>
        </w:rPr>
        <w:t xml:space="preserve">This means </w:t>
      </w:r>
      <w:proofErr w:type="gramStart"/>
      <w:r w:rsidR="00014159" w:rsidRPr="00014159">
        <w:rPr>
          <w:rFonts w:ascii="Calibri" w:hAnsi="Calibri" w:cs="Calibri"/>
          <w:szCs w:val="24"/>
        </w:rPr>
        <w:t>that</w:t>
      </w:r>
      <w:proofErr w:type="gramEnd"/>
      <w:r w:rsidR="00014159" w:rsidRPr="00014159">
        <w:rPr>
          <w:rFonts w:ascii="Calibri" w:hAnsi="Calibri" w:cs="Calibri"/>
          <w:szCs w:val="24"/>
        </w:rPr>
        <w:t xml:space="preserve"> </w:t>
      </w:r>
    </w:p>
    <w:p w14:paraId="79296EEF" w14:textId="77777777" w:rsidR="00872CF2" w:rsidRPr="00014159" w:rsidRDefault="00872CF2" w:rsidP="00872CF2">
      <w:pPr>
        <w:pStyle w:val="DefaultText"/>
        <w:jc w:val="both"/>
        <w:rPr>
          <w:rFonts w:ascii="Calibri" w:hAnsi="Calibri" w:cs="Calibri"/>
          <w:szCs w:val="24"/>
        </w:rPr>
      </w:pPr>
    </w:p>
    <w:p w14:paraId="24281205" w14:textId="00D5B407" w:rsidR="007F050A" w:rsidRPr="00014159" w:rsidRDefault="00A8767B" w:rsidP="000856F4">
      <w:pPr>
        <w:pStyle w:val="DefaultText"/>
        <w:numPr>
          <w:ilvl w:val="0"/>
          <w:numId w:val="17"/>
        </w:numPr>
        <w:jc w:val="both"/>
        <w:rPr>
          <w:rFonts w:ascii="Calibri" w:hAnsi="Calibri" w:cs="Calibri"/>
          <w:szCs w:val="24"/>
        </w:rPr>
      </w:pPr>
      <w:r w:rsidRPr="00014159">
        <w:rPr>
          <w:rFonts w:ascii="Calibri" w:hAnsi="Calibri" w:cs="Calibri"/>
          <w:szCs w:val="24"/>
        </w:rPr>
        <w:t xml:space="preserve">S117 eligibility is not determined by which LA undertakes an assessment but on where P was resident at the time a qualifying period of detention under the Act commences. </w:t>
      </w:r>
    </w:p>
    <w:p w14:paraId="21681290" w14:textId="77777777" w:rsidR="00872CF2" w:rsidRPr="00014159" w:rsidRDefault="00872CF2" w:rsidP="00872CF2">
      <w:pPr>
        <w:pStyle w:val="DefaultText"/>
        <w:jc w:val="both"/>
        <w:rPr>
          <w:rFonts w:ascii="Calibri" w:hAnsi="Calibri" w:cs="Calibri"/>
          <w:szCs w:val="24"/>
        </w:rPr>
      </w:pPr>
    </w:p>
    <w:p w14:paraId="78EA3093" w14:textId="4D1CDB87" w:rsidR="0016397C" w:rsidRPr="00014159" w:rsidRDefault="0016397C" w:rsidP="0016397C">
      <w:pPr>
        <w:pStyle w:val="ListParagraph"/>
        <w:numPr>
          <w:ilvl w:val="0"/>
          <w:numId w:val="17"/>
        </w:numPr>
        <w:jc w:val="both"/>
        <w:rPr>
          <w:rFonts w:ascii="Calibri" w:hAnsi="Calibri" w:cs="Calibri"/>
          <w:sz w:val="24"/>
          <w:szCs w:val="24"/>
        </w:rPr>
      </w:pPr>
      <w:r w:rsidRPr="00014159">
        <w:rPr>
          <w:rFonts w:ascii="Calibri" w:hAnsi="Calibri" w:cs="Calibri"/>
          <w:sz w:val="24"/>
          <w:szCs w:val="24"/>
        </w:rPr>
        <w:t xml:space="preserve">Where one LA undertakes an assessment for a resident of another LA within the CKW boundary, the AMHP will forward a copy of the AMHP Report to the AMHP Lead of the home authority. </w:t>
      </w:r>
    </w:p>
    <w:p w14:paraId="1BD14A47" w14:textId="77777777" w:rsidR="00014159" w:rsidRPr="00014159" w:rsidRDefault="00014159" w:rsidP="00014159">
      <w:pPr>
        <w:pStyle w:val="ListParagraph"/>
        <w:rPr>
          <w:rFonts w:ascii="Calibri" w:hAnsi="Calibri" w:cs="Calibri"/>
          <w:sz w:val="24"/>
          <w:szCs w:val="24"/>
        </w:rPr>
      </w:pPr>
    </w:p>
    <w:p w14:paraId="321FFDFD" w14:textId="68928199" w:rsidR="00014159" w:rsidRDefault="00014159" w:rsidP="00014159">
      <w:pPr>
        <w:pStyle w:val="ListParagraph"/>
        <w:numPr>
          <w:ilvl w:val="0"/>
          <w:numId w:val="17"/>
        </w:numPr>
        <w:jc w:val="both"/>
        <w:rPr>
          <w:rFonts w:ascii="Calibri" w:hAnsi="Calibri" w:cs="Calibri"/>
          <w:sz w:val="24"/>
          <w:szCs w:val="24"/>
        </w:rPr>
      </w:pPr>
      <w:r w:rsidRPr="00014159">
        <w:rPr>
          <w:rFonts w:ascii="Calibri" w:hAnsi="Calibri" w:cs="Calibri"/>
          <w:sz w:val="24"/>
          <w:szCs w:val="24"/>
        </w:rPr>
        <w:t xml:space="preserve">On some occasions one LA may offer support to another LA if the level of referrals is high or capacity low. This is often when P is from LA A but is in LA B at the time of the assessment. This should be negotiated between AMHP Leads in hours and between EDT staff out of hours.  There is no expectation that a request for support will be fulfilled but all requests will be considered fully. </w:t>
      </w:r>
    </w:p>
    <w:p w14:paraId="4F45B738" w14:textId="77777777" w:rsidR="00014159" w:rsidRPr="00014159" w:rsidRDefault="00014159" w:rsidP="00014159">
      <w:pPr>
        <w:pStyle w:val="ListParagraph"/>
        <w:rPr>
          <w:rFonts w:ascii="Calibri" w:hAnsi="Calibri" w:cs="Calibri"/>
          <w:sz w:val="24"/>
          <w:szCs w:val="24"/>
        </w:rPr>
      </w:pPr>
    </w:p>
    <w:p w14:paraId="5782C829" w14:textId="77777777" w:rsidR="00014159" w:rsidRPr="00014159" w:rsidRDefault="00014159" w:rsidP="00014159">
      <w:pPr>
        <w:pStyle w:val="ListParagraph"/>
        <w:jc w:val="both"/>
        <w:rPr>
          <w:rFonts w:ascii="Calibri" w:hAnsi="Calibri" w:cs="Calibri"/>
          <w:sz w:val="24"/>
          <w:szCs w:val="24"/>
        </w:rPr>
      </w:pPr>
    </w:p>
    <w:tbl>
      <w:tblPr>
        <w:tblStyle w:val="TableGrid"/>
        <w:tblW w:w="0" w:type="auto"/>
        <w:tblLook w:val="04A0" w:firstRow="1" w:lastRow="0" w:firstColumn="1" w:lastColumn="0" w:noHBand="0" w:noVBand="1"/>
      </w:tblPr>
      <w:tblGrid>
        <w:gridCol w:w="9016"/>
      </w:tblGrid>
      <w:tr w:rsidR="00014159" w:rsidRPr="00014159" w14:paraId="416B2E6D" w14:textId="77777777" w:rsidTr="00A8767B">
        <w:tc>
          <w:tcPr>
            <w:tcW w:w="9016" w:type="dxa"/>
            <w:shd w:val="clear" w:color="auto" w:fill="F2F2F2" w:themeFill="background1" w:themeFillShade="F2"/>
          </w:tcPr>
          <w:p w14:paraId="15546D5B" w14:textId="59FE5778" w:rsidR="00490574" w:rsidRPr="00014159" w:rsidRDefault="004029CC" w:rsidP="00490574">
            <w:pPr>
              <w:jc w:val="center"/>
              <w:rPr>
                <w:rFonts w:ascii="Calibri" w:hAnsi="Calibri" w:cs="Calibri"/>
                <w:b/>
                <w:bCs/>
                <w:sz w:val="28"/>
                <w:szCs w:val="28"/>
              </w:rPr>
            </w:pPr>
            <w:r w:rsidRPr="00014159">
              <w:rPr>
                <w:rFonts w:ascii="Calibri" w:hAnsi="Calibri" w:cs="Calibri"/>
                <w:b/>
                <w:bCs/>
                <w:sz w:val="28"/>
                <w:szCs w:val="28"/>
              </w:rPr>
              <w:lastRenderedPageBreak/>
              <w:t>Referrals during standard working hours</w:t>
            </w:r>
            <w:r w:rsidR="00A8767B" w:rsidRPr="00014159">
              <w:rPr>
                <w:rFonts w:ascii="Calibri" w:hAnsi="Calibri" w:cs="Calibri"/>
                <w:b/>
                <w:bCs/>
                <w:sz w:val="28"/>
                <w:szCs w:val="28"/>
              </w:rPr>
              <w:t xml:space="preserve"> of 09:00 – 17:00</w:t>
            </w:r>
          </w:p>
          <w:p w14:paraId="31C3D911" w14:textId="102923F0" w:rsidR="007F050A" w:rsidRPr="00014159" w:rsidRDefault="007F050A" w:rsidP="00490574">
            <w:pPr>
              <w:jc w:val="center"/>
              <w:rPr>
                <w:rFonts w:ascii="Calibri" w:hAnsi="Calibri" w:cs="Calibri"/>
                <w:b/>
                <w:bCs/>
                <w:sz w:val="24"/>
                <w:szCs w:val="24"/>
              </w:rPr>
            </w:pPr>
          </w:p>
        </w:tc>
      </w:tr>
    </w:tbl>
    <w:p w14:paraId="2FB8F984" w14:textId="77777777" w:rsidR="00CD0A36" w:rsidRPr="00014159" w:rsidRDefault="00CD0A36" w:rsidP="00CD0A36">
      <w:pPr>
        <w:pStyle w:val="DefaultText"/>
        <w:jc w:val="both"/>
        <w:rPr>
          <w:rFonts w:ascii="Calibri" w:hAnsi="Calibri" w:cs="Calibri"/>
          <w:b/>
          <w:szCs w:val="24"/>
          <w:u w:val="single"/>
        </w:rPr>
      </w:pPr>
    </w:p>
    <w:p w14:paraId="14F4FC67" w14:textId="77777777" w:rsidR="00CD0A36" w:rsidRPr="00014159" w:rsidRDefault="00CD0A36" w:rsidP="00CD0A36">
      <w:pPr>
        <w:pStyle w:val="DefaultText"/>
        <w:jc w:val="both"/>
        <w:rPr>
          <w:rFonts w:ascii="Calibri" w:hAnsi="Calibri" w:cs="Calibri"/>
          <w:b/>
          <w:bCs/>
          <w:szCs w:val="24"/>
        </w:rPr>
      </w:pPr>
      <w:r w:rsidRPr="00014159">
        <w:rPr>
          <w:rFonts w:ascii="Calibri" w:hAnsi="Calibri" w:cs="Calibri"/>
          <w:szCs w:val="24"/>
        </w:rPr>
        <w:t xml:space="preserve">If P lives in Calderdale, </w:t>
      </w:r>
      <w:proofErr w:type="gramStart"/>
      <w:r w:rsidRPr="00014159">
        <w:rPr>
          <w:rFonts w:ascii="Calibri" w:hAnsi="Calibri" w:cs="Calibri"/>
          <w:szCs w:val="24"/>
        </w:rPr>
        <w:t>Kirklees</w:t>
      </w:r>
      <w:proofErr w:type="gramEnd"/>
      <w:r w:rsidRPr="00014159">
        <w:rPr>
          <w:rFonts w:ascii="Calibri" w:hAnsi="Calibri" w:cs="Calibri"/>
          <w:szCs w:val="24"/>
        </w:rPr>
        <w:t xml:space="preserve"> or Wakefield:</w:t>
      </w:r>
    </w:p>
    <w:p w14:paraId="1583A8E7" w14:textId="77777777" w:rsidR="00CD0A36" w:rsidRPr="00014159" w:rsidRDefault="00CD0A36" w:rsidP="00CD0A36">
      <w:pPr>
        <w:pStyle w:val="DefaultText"/>
        <w:numPr>
          <w:ilvl w:val="0"/>
          <w:numId w:val="16"/>
        </w:numPr>
        <w:jc w:val="both"/>
        <w:rPr>
          <w:rFonts w:ascii="Calibri" w:hAnsi="Calibri" w:cs="Calibri"/>
          <w:b/>
          <w:bCs/>
          <w:szCs w:val="24"/>
        </w:rPr>
      </w:pPr>
      <w:r w:rsidRPr="00014159">
        <w:rPr>
          <w:rFonts w:ascii="Calibri" w:hAnsi="Calibri" w:cs="Calibri"/>
          <w:szCs w:val="24"/>
        </w:rPr>
        <w:t xml:space="preserve">The LA in whose area the person normally lives will have responsibility for </w:t>
      </w:r>
      <w:proofErr w:type="gramStart"/>
      <w:r w:rsidRPr="00014159">
        <w:rPr>
          <w:rFonts w:ascii="Calibri" w:hAnsi="Calibri" w:cs="Calibri"/>
          <w:szCs w:val="24"/>
        </w:rPr>
        <w:t>making arrangements</w:t>
      </w:r>
      <w:proofErr w:type="gramEnd"/>
      <w:r w:rsidRPr="00014159">
        <w:rPr>
          <w:rFonts w:ascii="Calibri" w:hAnsi="Calibri" w:cs="Calibri"/>
          <w:szCs w:val="24"/>
        </w:rPr>
        <w:t xml:space="preserve"> for an AMHP to consider the request.  </w:t>
      </w:r>
    </w:p>
    <w:p w14:paraId="76F36335" w14:textId="77777777" w:rsidR="00CD0A36" w:rsidRPr="00014159" w:rsidRDefault="00CD0A36" w:rsidP="00CD0A36">
      <w:pPr>
        <w:pStyle w:val="DefaultText"/>
        <w:jc w:val="both"/>
        <w:rPr>
          <w:rFonts w:ascii="Calibri" w:hAnsi="Calibri" w:cs="Calibri"/>
          <w:szCs w:val="24"/>
        </w:rPr>
      </w:pPr>
    </w:p>
    <w:p w14:paraId="7231D86B" w14:textId="77777777" w:rsidR="00CD0A36" w:rsidRPr="00014159" w:rsidRDefault="00CD0A36" w:rsidP="00CD0A36">
      <w:pPr>
        <w:pStyle w:val="DefaultText"/>
        <w:jc w:val="both"/>
        <w:rPr>
          <w:rFonts w:ascii="Calibri" w:hAnsi="Calibri" w:cs="Calibri"/>
          <w:szCs w:val="24"/>
        </w:rPr>
      </w:pPr>
      <w:r w:rsidRPr="00014159">
        <w:rPr>
          <w:rFonts w:ascii="Calibri" w:hAnsi="Calibri" w:cs="Calibri"/>
          <w:szCs w:val="24"/>
        </w:rPr>
        <w:t>This will include assessments on individuals who:</w:t>
      </w:r>
    </w:p>
    <w:p w14:paraId="7D487DEC" w14:textId="77777777" w:rsidR="00CD0A36" w:rsidRPr="00014159" w:rsidRDefault="00CD0A36" w:rsidP="00CD0A36">
      <w:pPr>
        <w:pStyle w:val="DefaultText"/>
        <w:numPr>
          <w:ilvl w:val="0"/>
          <w:numId w:val="11"/>
        </w:numPr>
        <w:jc w:val="both"/>
        <w:rPr>
          <w:rFonts w:ascii="Calibri" w:hAnsi="Calibri" w:cs="Calibri"/>
          <w:szCs w:val="24"/>
        </w:rPr>
      </w:pPr>
      <w:r w:rsidRPr="00014159">
        <w:rPr>
          <w:rFonts w:ascii="Calibri" w:hAnsi="Calibri" w:cs="Calibri"/>
          <w:szCs w:val="24"/>
        </w:rPr>
        <w:t>are currently open cases to Mental Health Services</w:t>
      </w:r>
    </w:p>
    <w:p w14:paraId="6113CD14" w14:textId="77777777" w:rsidR="00CD0A36" w:rsidRPr="00014159" w:rsidRDefault="00CD0A36" w:rsidP="00CD0A36">
      <w:pPr>
        <w:pStyle w:val="DefaultText"/>
        <w:numPr>
          <w:ilvl w:val="0"/>
          <w:numId w:val="11"/>
        </w:numPr>
        <w:jc w:val="both"/>
        <w:rPr>
          <w:rFonts w:ascii="Calibri" w:hAnsi="Calibri" w:cs="Calibri"/>
          <w:szCs w:val="24"/>
        </w:rPr>
      </w:pPr>
      <w:r w:rsidRPr="00014159">
        <w:rPr>
          <w:rFonts w:ascii="Calibri" w:hAnsi="Calibri" w:cs="Calibri"/>
          <w:szCs w:val="24"/>
        </w:rPr>
        <w:t>are previously known but currently closed cases to Mental Health Services</w:t>
      </w:r>
    </w:p>
    <w:p w14:paraId="4FAF6C54" w14:textId="77777777" w:rsidR="00CD0A36" w:rsidRPr="00014159" w:rsidRDefault="00CD0A36" w:rsidP="00CD0A36">
      <w:pPr>
        <w:pStyle w:val="DefaultText"/>
        <w:numPr>
          <w:ilvl w:val="0"/>
          <w:numId w:val="11"/>
        </w:numPr>
        <w:jc w:val="both"/>
        <w:rPr>
          <w:rFonts w:ascii="Calibri" w:hAnsi="Calibri" w:cs="Calibri"/>
          <w:szCs w:val="24"/>
        </w:rPr>
      </w:pPr>
      <w:r w:rsidRPr="00014159">
        <w:rPr>
          <w:rFonts w:ascii="Calibri" w:hAnsi="Calibri" w:cs="Calibri"/>
          <w:szCs w:val="24"/>
        </w:rPr>
        <w:t>are new cases (not previously known) to Mental Health Services</w:t>
      </w:r>
    </w:p>
    <w:p w14:paraId="17DBBA38" w14:textId="77777777" w:rsidR="00CD0A36" w:rsidRPr="00014159" w:rsidRDefault="00CD0A36" w:rsidP="00CD0A36">
      <w:pPr>
        <w:pStyle w:val="DefaultText"/>
        <w:ind w:left="360"/>
        <w:jc w:val="both"/>
        <w:rPr>
          <w:rFonts w:ascii="Calibri" w:hAnsi="Calibri" w:cs="Calibri"/>
          <w:szCs w:val="24"/>
        </w:rPr>
      </w:pPr>
    </w:p>
    <w:p w14:paraId="6383B8CE" w14:textId="77777777" w:rsidR="00CD0A36" w:rsidRPr="00014159" w:rsidRDefault="00CD0A36" w:rsidP="00CD0A36">
      <w:pPr>
        <w:pStyle w:val="DefaultText"/>
        <w:jc w:val="both"/>
        <w:rPr>
          <w:rFonts w:ascii="Calibri" w:hAnsi="Calibri" w:cs="Calibri"/>
          <w:szCs w:val="24"/>
        </w:rPr>
      </w:pPr>
      <w:r w:rsidRPr="00014159">
        <w:rPr>
          <w:rFonts w:ascii="Calibri" w:hAnsi="Calibri" w:cs="Calibri"/>
          <w:szCs w:val="24"/>
        </w:rPr>
        <w:t>As s13(1) MHA states that Local Social Services Authority (LSSA) has the legal responsibility for ensuring that an assessment is considered for a person in ‘their area’ it is important that this information is recorded on the AMHP Report and legal paperwork (if application made). This means that the authorising LA and the LA on behalf of whom the work is done may be different.</w:t>
      </w:r>
    </w:p>
    <w:p w14:paraId="4F559518" w14:textId="77777777" w:rsidR="00CD0A36" w:rsidRPr="00014159" w:rsidRDefault="00CD0A36" w:rsidP="00CD0A36">
      <w:pPr>
        <w:pStyle w:val="DefaultText"/>
        <w:jc w:val="both"/>
        <w:rPr>
          <w:rFonts w:ascii="Calibri" w:hAnsi="Calibri" w:cs="Calibri"/>
          <w:szCs w:val="24"/>
        </w:rPr>
      </w:pPr>
    </w:p>
    <w:p w14:paraId="2145A6E4" w14:textId="77777777" w:rsidR="00CD0A36" w:rsidRPr="00014159" w:rsidRDefault="00CD0A36" w:rsidP="00CD0A36">
      <w:pPr>
        <w:pStyle w:val="DefaultText"/>
        <w:jc w:val="both"/>
        <w:rPr>
          <w:rFonts w:ascii="Calibri" w:hAnsi="Calibri" w:cs="Calibri"/>
          <w:b/>
          <w:bCs/>
          <w:szCs w:val="24"/>
        </w:rPr>
      </w:pPr>
      <w:r w:rsidRPr="00014159">
        <w:rPr>
          <w:rFonts w:ascii="Calibri" w:hAnsi="Calibri" w:cs="Calibri"/>
          <w:b/>
          <w:bCs/>
          <w:szCs w:val="24"/>
        </w:rPr>
        <w:t>Example:</w:t>
      </w:r>
    </w:p>
    <w:p w14:paraId="08204542" w14:textId="77777777" w:rsidR="00CD0A36" w:rsidRPr="00014159" w:rsidRDefault="00CD0A36" w:rsidP="00CD0A36">
      <w:pPr>
        <w:pStyle w:val="DefaultText"/>
        <w:numPr>
          <w:ilvl w:val="0"/>
          <w:numId w:val="16"/>
        </w:numPr>
        <w:jc w:val="both"/>
        <w:rPr>
          <w:rFonts w:ascii="Calibri" w:hAnsi="Calibri" w:cs="Calibri"/>
          <w:szCs w:val="24"/>
        </w:rPr>
      </w:pPr>
      <w:r w:rsidRPr="00014159">
        <w:rPr>
          <w:rFonts w:ascii="Calibri" w:hAnsi="Calibri" w:cs="Calibri"/>
          <w:szCs w:val="24"/>
        </w:rPr>
        <w:t xml:space="preserve">P resides in LA A but receives services from mental health services in LA B as this is where their GP is located. </w:t>
      </w:r>
      <w:r w:rsidRPr="00014159">
        <w:rPr>
          <w:rFonts w:ascii="Calibri" w:hAnsi="Calibri" w:cs="Calibri"/>
          <w:b/>
          <w:bCs/>
          <w:szCs w:val="24"/>
        </w:rPr>
        <w:t>Good practice discussion to decide which LA has responsibility.</w:t>
      </w:r>
    </w:p>
    <w:p w14:paraId="590DB2F1" w14:textId="7E28D6DA" w:rsidR="00CD0A36" w:rsidRPr="00014159" w:rsidRDefault="00CD0A36" w:rsidP="00CD0A36">
      <w:pPr>
        <w:pStyle w:val="DefaultText"/>
        <w:numPr>
          <w:ilvl w:val="0"/>
          <w:numId w:val="16"/>
        </w:numPr>
        <w:jc w:val="both"/>
        <w:rPr>
          <w:rFonts w:ascii="Calibri" w:hAnsi="Calibri" w:cs="Calibri"/>
          <w:szCs w:val="24"/>
        </w:rPr>
      </w:pPr>
      <w:r w:rsidRPr="00014159">
        <w:rPr>
          <w:rFonts w:ascii="Calibri" w:hAnsi="Calibri" w:cs="Calibri"/>
          <w:szCs w:val="24"/>
        </w:rPr>
        <w:t xml:space="preserve">P resides in LA A, is detained and is taken under s136 to a POS – LA A is responsible detained under s136 in LA A and taken to POS in LA A – </w:t>
      </w:r>
      <w:r w:rsidRPr="00014159">
        <w:rPr>
          <w:rFonts w:ascii="Calibri" w:hAnsi="Calibri" w:cs="Calibri"/>
          <w:b/>
          <w:bCs/>
          <w:szCs w:val="24"/>
        </w:rPr>
        <w:t>LA A is responsible</w:t>
      </w:r>
      <w:r w:rsidRPr="00014159">
        <w:rPr>
          <w:rFonts w:ascii="Calibri" w:hAnsi="Calibri" w:cs="Calibri"/>
          <w:szCs w:val="24"/>
        </w:rPr>
        <w:t>.</w:t>
      </w:r>
    </w:p>
    <w:p w14:paraId="7FC7523E" w14:textId="65390B16" w:rsidR="00014159" w:rsidRPr="00014159" w:rsidRDefault="00014159" w:rsidP="00CD0A36">
      <w:pPr>
        <w:pStyle w:val="DefaultText"/>
        <w:numPr>
          <w:ilvl w:val="0"/>
          <w:numId w:val="16"/>
        </w:numPr>
        <w:jc w:val="both"/>
        <w:rPr>
          <w:rFonts w:ascii="Calibri" w:hAnsi="Calibri" w:cs="Calibri"/>
          <w:b/>
          <w:bCs/>
          <w:szCs w:val="24"/>
        </w:rPr>
      </w:pPr>
      <w:r w:rsidRPr="00014159">
        <w:rPr>
          <w:rFonts w:ascii="Calibri" w:hAnsi="Calibri" w:cs="Calibri"/>
          <w:szCs w:val="24"/>
        </w:rPr>
        <w:t xml:space="preserve">P resides in LA A but is in LA B at the time of the assessment. LA B detains under s2. </w:t>
      </w:r>
      <w:r w:rsidRPr="00014159">
        <w:rPr>
          <w:rFonts w:ascii="Calibri" w:hAnsi="Calibri" w:cs="Calibri"/>
          <w:b/>
          <w:bCs/>
          <w:szCs w:val="24"/>
        </w:rPr>
        <w:t xml:space="preserve">Good practice discussion with a view to LA A undertaking any subsequent s3 request as P remains their resident even though LA B undertook the s2. </w:t>
      </w:r>
    </w:p>
    <w:p w14:paraId="7D96A9B4" w14:textId="77777777" w:rsidR="00CD0A36" w:rsidRPr="00014159" w:rsidRDefault="00CD0A36" w:rsidP="00CD0A36">
      <w:pPr>
        <w:pStyle w:val="DefaultText"/>
        <w:ind w:left="720"/>
        <w:jc w:val="both"/>
        <w:rPr>
          <w:rFonts w:ascii="Calibri" w:hAnsi="Calibri" w:cs="Calibri"/>
          <w:szCs w:val="24"/>
        </w:rPr>
      </w:pPr>
    </w:p>
    <w:p w14:paraId="17F95CA6" w14:textId="3C5D3235" w:rsidR="00CD0A36" w:rsidRPr="00014159" w:rsidRDefault="00CD0A36" w:rsidP="00CD0A36">
      <w:pPr>
        <w:pStyle w:val="DefaultText"/>
        <w:jc w:val="both"/>
        <w:rPr>
          <w:rFonts w:ascii="Calibri" w:hAnsi="Calibri" w:cs="Calibri"/>
          <w:b/>
          <w:bCs/>
          <w:szCs w:val="24"/>
        </w:rPr>
      </w:pPr>
      <w:r w:rsidRPr="00014159">
        <w:rPr>
          <w:rFonts w:ascii="Calibri" w:hAnsi="Calibri" w:cs="Calibri"/>
          <w:szCs w:val="24"/>
        </w:rPr>
        <w:t xml:space="preserve">If P does not reside in Calderdale, </w:t>
      </w:r>
      <w:proofErr w:type="gramStart"/>
      <w:r w:rsidRPr="00014159">
        <w:rPr>
          <w:rFonts w:ascii="Calibri" w:hAnsi="Calibri" w:cs="Calibri"/>
          <w:szCs w:val="24"/>
        </w:rPr>
        <w:t>Kirklees</w:t>
      </w:r>
      <w:proofErr w:type="gramEnd"/>
      <w:r w:rsidRPr="00014159">
        <w:rPr>
          <w:rFonts w:ascii="Calibri" w:hAnsi="Calibri" w:cs="Calibri"/>
          <w:szCs w:val="24"/>
        </w:rPr>
        <w:t xml:space="preserve"> or Wakefield:</w:t>
      </w:r>
    </w:p>
    <w:p w14:paraId="54640254" w14:textId="77777777" w:rsidR="00CD0A36" w:rsidRPr="00014159" w:rsidRDefault="00CD0A36" w:rsidP="00CD0A36">
      <w:pPr>
        <w:pStyle w:val="DefaultText"/>
        <w:numPr>
          <w:ilvl w:val="0"/>
          <w:numId w:val="16"/>
        </w:numPr>
        <w:jc w:val="both"/>
        <w:rPr>
          <w:rFonts w:ascii="Calibri" w:hAnsi="Calibri" w:cs="Calibri"/>
          <w:b/>
          <w:bCs/>
          <w:szCs w:val="24"/>
        </w:rPr>
      </w:pPr>
      <w:r w:rsidRPr="00014159">
        <w:rPr>
          <w:rFonts w:ascii="Calibri" w:hAnsi="Calibri" w:cs="Calibri"/>
          <w:szCs w:val="24"/>
        </w:rPr>
        <w:t xml:space="preserve">The LA in whose area the person is currently located will have responsibility for </w:t>
      </w:r>
      <w:proofErr w:type="gramStart"/>
      <w:r w:rsidRPr="00014159">
        <w:rPr>
          <w:rFonts w:ascii="Calibri" w:hAnsi="Calibri" w:cs="Calibri"/>
          <w:szCs w:val="24"/>
        </w:rPr>
        <w:t>making arrangements</w:t>
      </w:r>
      <w:proofErr w:type="gramEnd"/>
      <w:r w:rsidRPr="00014159">
        <w:rPr>
          <w:rFonts w:ascii="Calibri" w:hAnsi="Calibri" w:cs="Calibri"/>
          <w:szCs w:val="24"/>
        </w:rPr>
        <w:t xml:space="preserve"> for an AMHP to consider the request.  </w:t>
      </w:r>
    </w:p>
    <w:p w14:paraId="47CF3A5D" w14:textId="77777777" w:rsidR="004029CC" w:rsidRPr="00014159" w:rsidRDefault="004029CC" w:rsidP="00490574">
      <w:pPr>
        <w:jc w:val="both"/>
        <w:rPr>
          <w:rFonts w:ascii="Calibri" w:hAnsi="Calibri" w:cs="Calibri"/>
          <w:sz w:val="24"/>
          <w:szCs w:val="24"/>
        </w:rPr>
      </w:pPr>
    </w:p>
    <w:tbl>
      <w:tblPr>
        <w:tblStyle w:val="TableGrid"/>
        <w:tblW w:w="0" w:type="auto"/>
        <w:tblLook w:val="04A0" w:firstRow="1" w:lastRow="0" w:firstColumn="1" w:lastColumn="0" w:noHBand="0" w:noVBand="1"/>
      </w:tblPr>
      <w:tblGrid>
        <w:gridCol w:w="9016"/>
      </w:tblGrid>
      <w:tr w:rsidR="00014159" w:rsidRPr="00014159" w14:paraId="68FA41F8" w14:textId="77777777" w:rsidTr="00C92F97">
        <w:tc>
          <w:tcPr>
            <w:tcW w:w="9016" w:type="dxa"/>
            <w:shd w:val="clear" w:color="auto" w:fill="F2F2F2" w:themeFill="background1" w:themeFillShade="F2"/>
          </w:tcPr>
          <w:p w14:paraId="21931D55" w14:textId="23E328FD" w:rsidR="00472311" w:rsidRPr="00014159" w:rsidRDefault="004029CC" w:rsidP="00C92F97">
            <w:pPr>
              <w:jc w:val="center"/>
              <w:rPr>
                <w:rFonts w:ascii="Calibri" w:hAnsi="Calibri" w:cs="Calibri"/>
                <w:b/>
                <w:bCs/>
                <w:sz w:val="28"/>
                <w:szCs w:val="28"/>
              </w:rPr>
            </w:pPr>
            <w:r w:rsidRPr="00014159">
              <w:rPr>
                <w:rFonts w:ascii="Calibri" w:hAnsi="Calibri" w:cs="Calibri"/>
                <w:b/>
                <w:bCs/>
                <w:sz w:val="28"/>
                <w:szCs w:val="28"/>
              </w:rPr>
              <w:t>Referrals outside of standard working hours</w:t>
            </w:r>
          </w:p>
          <w:p w14:paraId="0938F421" w14:textId="6EB49A5F" w:rsidR="00C92F97" w:rsidRPr="00014159" w:rsidRDefault="00C92F97" w:rsidP="00C92F97">
            <w:pPr>
              <w:jc w:val="center"/>
              <w:rPr>
                <w:rFonts w:ascii="Calibri" w:hAnsi="Calibri" w:cs="Calibri"/>
                <w:b/>
                <w:bCs/>
                <w:sz w:val="24"/>
                <w:szCs w:val="24"/>
              </w:rPr>
            </w:pPr>
          </w:p>
        </w:tc>
      </w:tr>
    </w:tbl>
    <w:p w14:paraId="23E95399" w14:textId="77777777" w:rsidR="00B54EF6" w:rsidRPr="00014159" w:rsidRDefault="00B54EF6" w:rsidP="004029CC">
      <w:pPr>
        <w:pStyle w:val="DefaultText"/>
        <w:jc w:val="both"/>
        <w:rPr>
          <w:rFonts w:ascii="Calibri" w:hAnsi="Calibri" w:cs="Calibri"/>
          <w:b/>
          <w:szCs w:val="24"/>
          <w:u w:val="single"/>
        </w:rPr>
      </w:pPr>
    </w:p>
    <w:p w14:paraId="386EF1BC" w14:textId="77777777" w:rsidR="00CD0A36" w:rsidRPr="00014159" w:rsidRDefault="00CD0A36" w:rsidP="00CD0A36">
      <w:pPr>
        <w:pStyle w:val="DefaultText"/>
        <w:jc w:val="both"/>
        <w:rPr>
          <w:rFonts w:ascii="Calibri" w:hAnsi="Calibri" w:cs="Calibri"/>
          <w:b/>
          <w:szCs w:val="24"/>
          <w:u w:val="single"/>
        </w:rPr>
      </w:pPr>
      <w:r w:rsidRPr="00014159">
        <w:rPr>
          <w:rFonts w:ascii="Calibri" w:hAnsi="Calibri" w:cs="Calibri"/>
          <w:b/>
          <w:szCs w:val="24"/>
          <w:u w:val="single"/>
        </w:rPr>
        <w:t>s.136</w:t>
      </w:r>
    </w:p>
    <w:p w14:paraId="133C946A" w14:textId="77777777" w:rsidR="00CD0A36" w:rsidRPr="00014159" w:rsidRDefault="00CD0A36" w:rsidP="00CD0A36">
      <w:pPr>
        <w:pStyle w:val="DefaultText"/>
        <w:jc w:val="both"/>
        <w:rPr>
          <w:rFonts w:ascii="Calibri" w:hAnsi="Calibri" w:cs="Calibri"/>
          <w:b/>
          <w:szCs w:val="24"/>
          <w:u w:val="single"/>
        </w:rPr>
      </w:pPr>
    </w:p>
    <w:p w14:paraId="16165531" w14:textId="77777777" w:rsidR="00CD0A36" w:rsidRPr="00014159" w:rsidRDefault="00CD0A36" w:rsidP="00CD0A36">
      <w:pPr>
        <w:pStyle w:val="DefaultText"/>
        <w:numPr>
          <w:ilvl w:val="0"/>
          <w:numId w:val="15"/>
        </w:numPr>
        <w:jc w:val="both"/>
        <w:rPr>
          <w:rFonts w:ascii="Calibri" w:hAnsi="Calibri" w:cs="Calibri"/>
          <w:szCs w:val="24"/>
        </w:rPr>
      </w:pPr>
      <w:r w:rsidRPr="00014159">
        <w:rPr>
          <w:rFonts w:ascii="Calibri" w:hAnsi="Calibri" w:cs="Calibri"/>
          <w:szCs w:val="24"/>
        </w:rPr>
        <w:t xml:space="preserve">The LA in whose area the s136 occurred is responsible, regardless of which POS is used. </w:t>
      </w:r>
    </w:p>
    <w:p w14:paraId="71CEF27E" w14:textId="77777777" w:rsidR="00CD0A36" w:rsidRPr="00014159" w:rsidRDefault="00CD0A36" w:rsidP="00CD0A36">
      <w:pPr>
        <w:pStyle w:val="DefaultText"/>
        <w:ind w:left="720"/>
        <w:jc w:val="both"/>
        <w:rPr>
          <w:rFonts w:ascii="Calibri" w:hAnsi="Calibri" w:cs="Calibri"/>
          <w:szCs w:val="24"/>
        </w:rPr>
      </w:pPr>
    </w:p>
    <w:p w14:paraId="2B39C6BB" w14:textId="77777777" w:rsidR="00CD0A36" w:rsidRPr="00014159" w:rsidRDefault="00CD0A36" w:rsidP="00CD0A36">
      <w:pPr>
        <w:pStyle w:val="DefaultText"/>
        <w:jc w:val="both"/>
        <w:rPr>
          <w:rFonts w:ascii="Calibri" w:hAnsi="Calibri" w:cs="Calibri"/>
          <w:b/>
          <w:bCs/>
          <w:szCs w:val="24"/>
        </w:rPr>
      </w:pPr>
      <w:r w:rsidRPr="00014159">
        <w:rPr>
          <w:rFonts w:ascii="Calibri" w:hAnsi="Calibri" w:cs="Calibri"/>
          <w:b/>
          <w:bCs/>
          <w:szCs w:val="24"/>
        </w:rPr>
        <w:t>Examples:</w:t>
      </w:r>
    </w:p>
    <w:p w14:paraId="6289D09E" w14:textId="77777777" w:rsidR="00CD0A36" w:rsidRPr="00014159" w:rsidRDefault="00CD0A36" w:rsidP="00CD0A36">
      <w:pPr>
        <w:pStyle w:val="DefaultText"/>
        <w:jc w:val="both"/>
        <w:rPr>
          <w:rFonts w:ascii="Calibri" w:hAnsi="Calibri" w:cs="Calibri"/>
          <w:szCs w:val="24"/>
        </w:rPr>
      </w:pPr>
    </w:p>
    <w:p w14:paraId="5C1531B0" w14:textId="77777777" w:rsidR="00CD0A36" w:rsidRPr="00014159" w:rsidRDefault="00CD0A36" w:rsidP="00CD0A36">
      <w:pPr>
        <w:pStyle w:val="DefaultText"/>
        <w:numPr>
          <w:ilvl w:val="0"/>
          <w:numId w:val="15"/>
        </w:numPr>
        <w:jc w:val="both"/>
        <w:rPr>
          <w:rFonts w:ascii="Calibri" w:hAnsi="Calibri" w:cs="Calibri"/>
          <w:szCs w:val="24"/>
        </w:rPr>
      </w:pPr>
      <w:r w:rsidRPr="00014159">
        <w:rPr>
          <w:rFonts w:ascii="Calibri" w:hAnsi="Calibri" w:cs="Calibri"/>
          <w:szCs w:val="24"/>
        </w:rPr>
        <w:t xml:space="preserve">P is detained under s136 in LA A and taken to POS in LA A – </w:t>
      </w:r>
      <w:r w:rsidRPr="00014159">
        <w:rPr>
          <w:rFonts w:ascii="Calibri" w:hAnsi="Calibri" w:cs="Calibri"/>
          <w:b/>
          <w:bCs/>
          <w:szCs w:val="24"/>
        </w:rPr>
        <w:t>LA A is responsible</w:t>
      </w:r>
      <w:r w:rsidRPr="00014159">
        <w:rPr>
          <w:rFonts w:ascii="Calibri" w:hAnsi="Calibri" w:cs="Calibri"/>
          <w:szCs w:val="24"/>
        </w:rPr>
        <w:t>.</w:t>
      </w:r>
    </w:p>
    <w:p w14:paraId="3420032E" w14:textId="77777777" w:rsidR="00CD0A36" w:rsidRPr="00014159" w:rsidRDefault="00CD0A36" w:rsidP="00CD0A36">
      <w:pPr>
        <w:pStyle w:val="DefaultText"/>
        <w:numPr>
          <w:ilvl w:val="0"/>
          <w:numId w:val="15"/>
        </w:numPr>
        <w:jc w:val="both"/>
        <w:rPr>
          <w:rFonts w:ascii="Calibri" w:hAnsi="Calibri" w:cs="Calibri"/>
          <w:szCs w:val="24"/>
        </w:rPr>
      </w:pPr>
      <w:r w:rsidRPr="00014159">
        <w:rPr>
          <w:rFonts w:ascii="Calibri" w:hAnsi="Calibri" w:cs="Calibri"/>
          <w:szCs w:val="24"/>
        </w:rPr>
        <w:t xml:space="preserve">P is detained under s136 in LA A and taken to POS in LA B – </w:t>
      </w:r>
      <w:r w:rsidRPr="00014159">
        <w:rPr>
          <w:rFonts w:ascii="Calibri" w:hAnsi="Calibri" w:cs="Calibri"/>
          <w:b/>
          <w:bCs/>
          <w:szCs w:val="24"/>
        </w:rPr>
        <w:t>LA A is responsible</w:t>
      </w:r>
    </w:p>
    <w:p w14:paraId="4B26D82C" w14:textId="77777777" w:rsidR="00CD0A36" w:rsidRPr="00014159" w:rsidRDefault="00CD0A36" w:rsidP="00CD0A36">
      <w:pPr>
        <w:pStyle w:val="DefaultText"/>
        <w:numPr>
          <w:ilvl w:val="0"/>
          <w:numId w:val="15"/>
        </w:numPr>
        <w:jc w:val="both"/>
        <w:rPr>
          <w:rFonts w:ascii="Calibri" w:hAnsi="Calibri" w:cs="Calibri"/>
          <w:b/>
          <w:bCs/>
          <w:szCs w:val="24"/>
        </w:rPr>
      </w:pPr>
      <w:r w:rsidRPr="00014159">
        <w:rPr>
          <w:rFonts w:ascii="Calibri" w:hAnsi="Calibri" w:cs="Calibri"/>
          <w:szCs w:val="24"/>
        </w:rPr>
        <w:t xml:space="preserve">P is found by police in LA A, taken to LA B and then detained under s136 – </w:t>
      </w:r>
      <w:r w:rsidRPr="00014159">
        <w:rPr>
          <w:rFonts w:ascii="Calibri" w:hAnsi="Calibri" w:cs="Calibri"/>
          <w:b/>
          <w:bCs/>
          <w:szCs w:val="24"/>
        </w:rPr>
        <w:t>LA B is responsible.</w:t>
      </w:r>
    </w:p>
    <w:p w14:paraId="2C3FEF5F" w14:textId="77777777" w:rsidR="00CD0A36" w:rsidRPr="00014159" w:rsidRDefault="00CD0A36" w:rsidP="00CD0A36">
      <w:pPr>
        <w:pStyle w:val="DefaultText"/>
        <w:numPr>
          <w:ilvl w:val="0"/>
          <w:numId w:val="15"/>
        </w:numPr>
        <w:jc w:val="both"/>
        <w:rPr>
          <w:rFonts w:ascii="Calibri" w:hAnsi="Calibri" w:cs="Calibri"/>
          <w:szCs w:val="24"/>
        </w:rPr>
      </w:pPr>
      <w:r w:rsidRPr="00014159">
        <w:rPr>
          <w:rFonts w:ascii="Calibri" w:hAnsi="Calibri" w:cs="Calibri"/>
          <w:szCs w:val="24"/>
        </w:rPr>
        <w:lastRenderedPageBreak/>
        <w:t xml:space="preserve">P is arrested in LA A, taken to a police station in LA B and then detained under s136. </w:t>
      </w:r>
      <w:r w:rsidRPr="00014159">
        <w:rPr>
          <w:rFonts w:ascii="Calibri" w:hAnsi="Calibri" w:cs="Calibri"/>
          <w:b/>
          <w:bCs/>
          <w:szCs w:val="24"/>
        </w:rPr>
        <w:t>LA B is responsible.</w:t>
      </w:r>
      <w:r w:rsidRPr="00014159">
        <w:rPr>
          <w:rFonts w:ascii="Calibri" w:hAnsi="Calibri" w:cs="Calibri"/>
          <w:szCs w:val="24"/>
        </w:rPr>
        <w:t xml:space="preserve">  </w:t>
      </w:r>
    </w:p>
    <w:p w14:paraId="2BCECBC1" w14:textId="77777777" w:rsidR="00CD0A36" w:rsidRPr="00014159" w:rsidRDefault="00CD0A36" w:rsidP="00CD0A36">
      <w:pPr>
        <w:pStyle w:val="DefaultText"/>
        <w:jc w:val="both"/>
        <w:rPr>
          <w:rFonts w:ascii="Calibri" w:hAnsi="Calibri" w:cs="Calibri"/>
          <w:b/>
          <w:szCs w:val="24"/>
          <w:u w:val="single"/>
        </w:rPr>
      </w:pPr>
    </w:p>
    <w:p w14:paraId="376B8674" w14:textId="77777777" w:rsidR="00CD0A36" w:rsidRPr="00014159" w:rsidRDefault="00CD0A36" w:rsidP="00CD0A36">
      <w:pPr>
        <w:pStyle w:val="DefaultText"/>
        <w:jc w:val="both"/>
        <w:rPr>
          <w:rFonts w:ascii="Calibri" w:hAnsi="Calibri" w:cs="Calibri"/>
          <w:szCs w:val="24"/>
        </w:rPr>
      </w:pPr>
      <w:r w:rsidRPr="00014159">
        <w:rPr>
          <w:rFonts w:ascii="Calibri" w:hAnsi="Calibri" w:cs="Calibri"/>
          <w:b/>
          <w:szCs w:val="24"/>
          <w:u w:val="single"/>
        </w:rPr>
        <w:t>Other Requests</w:t>
      </w:r>
    </w:p>
    <w:p w14:paraId="3311D3BA" w14:textId="77777777" w:rsidR="00CD0A36" w:rsidRPr="00014159" w:rsidRDefault="00CD0A36" w:rsidP="00CD0A36">
      <w:pPr>
        <w:pStyle w:val="DefaultText"/>
        <w:jc w:val="both"/>
        <w:rPr>
          <w:rFonts w:ascii="Calibri" w:hAnsi="Calibri" w:cs="Calibri"/>
          <w:szCs w:val="24"/>
        </w:rPr>
      </w:pPr>
    </w:p>
    <w:p w14:paraId="4DF45A44" w14:textId="77777777" w:rsidR="00CD0A36" w:rsidRPr="00014159" w:rsidRDefault="00CD0A36" w:rsidP="00CD0A36">
      <w:pPr>
        <w:pStyle w:val="DefaultText"/>
        <w:numPr>
          <w:ilvl w:val="0"/>
          <w:numId w:val="14"/>
        </w:numPr>
        <w:jc w:val="both"/>
        <w:rPr>
          <w:rFonts w:ascii="Calibri" w:hAnsi="Calibri" w:cs="Calibri"/>
          <w:b/>
          <w:bCs/>
          <w:szCs w:val="24"/>
        </w:rPr>
      </w:pPr>
      <w:r w:rsidRPr="00014159">
        <w:rPr>
          <w:rFonts w:ascii="Calibri" w:hAnsi="Calibri" w:cs="Calibri"/>
          <w:szCs w:val="24"/>
        </w:rPr>
        <w:t xml:space="preserve">The LA in whose area the person is currently present will have responsibility for </w:t>
      </w:r>
      <w:proofErr w:type="gramStart"/>
      <w:r w:rsidRPr="00014159">
        <w:rPr>
          <w:rFonts w:ascii="Calibri" w:hAnsi="Calibri" w:cs="Calibri"/>
          <w:szCs w:val="24"/>
        </w:rPr>
        <w:t>making arrangements</w:t>
      </w:r>
      <w:proofErr w:type="gramEnd"/>
      <w:r w:rsidRPr="00014159">
        <w:rPr>
          <w:rFonts w:ascii="Calibri" w:hAnsi="Calibri" w:cs="Calibri"/>
          <w:szCs w:val="24"/>
        </w:rPr>
        <w:t xml:space="preserve"> for an AMHP to consider the request.  </w:t>
      </w:r>
    </w:p>
    <w:p w14:paraId="3237B86C" w14:textId="77777777" w:rsidR="00CD0A36" w:rsidRPr="00014159" w:rsidRDefault="00CD0A36" w:rsidP="00CD0A36">
      <w:pPr>
        <w:pStyle w:val="DefaultText"/>
        <w:ind w:left="720"/>
        <w:jc w:val="both"/>
        <w:rPr>
          <w:rFonts w:ascii="Calibri" w:hAnsi="Calibri" w:cs="Calibri"/>
          <w:b/>
          <w:bCs/>
          <w:szCs w:val="24"/>
        </w:rPr>
      </w:pPr>
    </w:p>
    <w:p w14:paraId="1EAAD949" w14:textId="77777777" w:rsidR="00CD0A36" w:rsidRPr="00014159" w:rsidRDefault="00CD0A36" w:rsidP="00CD0A36">
      <w:pPr>
        <w:pStyle w:val="DefaultText"/>
        <w:jc w:val="both"/>
        <w:rPr>
          <w:rFonts w:ascii="Calibri" w:hAnsi="Calibri" w:cs="Calibri"/>
          <w:b/>
          <w:bCs/>
          <w:szCs w:val="24"/>
        </w:rPr>
      </w:pPr>
      <w:r w:rsidRPr="00014159">
        <w:rPr>
          <w:rFonts w:ascii="Calibri" w:hAnsi="Calibri" w:cs="Calibri"/>
          <w:b/>
          <w:bCs/>
          <w:szCs w:val="24"/>
        </w:rPr>
        <w:t xml:space="preserve">Example: </w:t>
      </w:r>
    </w:p>
    <w:p w14:paraId="1B5E7507" w14:textId="505B1648" w:rsidR="00CD0A36" w:rsidRPr="00014159" w:rsidRDefault="00CD0A36" w:rsidP="00CD0A36">
      <w:pPr>
        <w:pStyle w:val="DefaultText"/>
        <w:numPr>
          <w:ilvl w:val="0"/>
          <w:numId w:val="14"/>
        </w:numPr>
        <w:jc w:val="both"/>
        <w:rPr>
          <w:rFonts w:ascii="Calibri" w:hAnsi="Calibri" w:cs="Calibri"/>
          <w:szCs w:val="24"/>
        </w:rPr>
      </w:pPr>
      <w:r w:rsidRPr="00014159">
        <w:rPr>
          <w:rFonts w:ascii="Calibri" w:hAnsi="Calibri" w:cs="Calibri"/>
          <w:szCs w:val="24"/>
        </w:rPr>
        <w:t xml:space="preserve">P is from LA and is a patient at a general hospital in LA B. </w:t>
      </w:r>
      <w:r w:rsidRPr="00014159">
        <w:rPr>
          <w:rFonts w:ascii="Calibri" w:hAnsi="Calibri" w:cs="Calibri"/>
          <w:b/>
          <w:bCs/>
          <w:szCs w:val="24"/>
        </w:rPr>
        <w:t>LA B are responsible</w:t>
      </w:r>
      <w:r w:rsidRPr="00014159">
        <w:rPr>
          <w:rFonts w:ascii="Calibri" w:hAnsi="Calibri" w:cs="Calibri"/>
          <w:szCs w:val="24"/>
        </w:rPr>
        <w:t xml:space="preserve">. </w:t>
      </w:r>
    </w:p>
    <w:p w14:paraId="11BC472A" w14:textId="77777777" w:rsidR="00CD0A36" w:rsidRPr="00014159" w:rsidRDefault="00CD0A36" w:rsidP="00CD0A36">
      <w:pPr>
        <w:pStyle w:val="DefaultText"/>
        <w:ind w:left="720"/>
        <w:jc w:val="both"/>
        <w:rPr>
          <w:rFonts w:ascii="Calibri" w:hAnsi="Calibri" w:cs="Calibri"/>
          <w:szCs w:val="24"/>
        </w:rPr>
      </w:pPr>
    </w:p>
    <w:p w14:paraId="7F02E3E1" w14:textId="77777777" w:rsidR="00CD0A36" w:rsidRPr="00014159" w:rsidRDefault="00CD0A36" w:rsidP="00CD0A36">
      <w:pPr>
        <w:pStyle w:val="DefaultText"/>
        <w:ind w:left="720"/>
        <w:jc w:val="both"/>
        <w:rPr>
          <w:rFonts w:ascii="Calibri" w:hAnsi="Calibri" w:cs="Calibri"/>
          <w:szCs w:val="24"/>
        </w:rPr>
      </w:pPr>
      <w:r w:rsidRPr="00014159">
        <w:rPr>
          <w:rFonts w:ascii="Calibri" w:hAnsi="Calibri" w:cs="Calibri"/>
          <w:szCs w:val="24"/>
        </w:rPr>
        <w:t xml:space="preserve">LA B should approach LA A to obtain relevant information and ask if they are able to undertake the assessment. If LA A are unable to do so, LA B will consider the request (subject to the usual prioritisation of workloads undertaken by out of hours workers). </w:t>
      </w:r>
    </w:p>
    <w:p w14:paraId="13D642E9" w14:textId="77777777" w:rsidR="00CD0A36" w:rsidRPr="00014159" w:rsidRDefault="00CD0A36" w:rsidP="00CD0A36">
      <w:pPr>
        <w:pStyle w:val="DefaultText"/>
        <w:ind w:left="720"/>
        <w:jc w:val="both"/>
        <w:rPr>
          <w:rFonts w:ascii="Calibri" w:hAnsi="Calibri" w:cs="Calibri"/>
          <w:b/>
          <w:bCs/>
          <w:szCs w:val="24"/>
        </w:rPr>
      </w:pPr>
    </w:p>
    <w:p w14:paraId="1DD1AADB" w14:textId="77777777" w:rsidR="00CD0A36" w:rsidRPr="00014159" w:rsidRDefault="00CD0A36" w:rsidP="007F050A">
      <w:pPr>
        <w:pStyle w:val="DefaultText"/>
        <w:numPr>
          <w:ilvl w:val="0"/>
          <w:numId w:val="14"/>
        </w:numPr>
        <w:jc w:val="both"/>
        <w:rPr>
          <w:rFonts w:ascii="Calibri" w:hAnsi="Calibri" w:cs="Calibri"/>
          <w:szCs w:val="24"/>
        </w:rPr>
      </w:pPr>
      <w:r w:rsidRPr="00014159">
        <w:rPr>
          <w:rFonts w:ascii="Calibri" w:hAnsi="Calibri" w:cs="Calibri"/>
          <w:szCs w:val="24"/>
        </w:rPr>
        <w:t xml:space="preserve">P is from LA A and on a mental health ward in LA B. </w:t>
      </w:r>
      <w:r w:rsidRPr="00014159">
        <w:rPr>
          <w:rFonts w:ascii="Calibri" w:hAnsi="Calibri" w:cs="Calibri"/>
          <w:b/>
          <w:bCs/>
          <w:szCs w:val="24"/>
        </w:rPr>
        <w:t>LA A are responsible.</w:t>
      </w:r>
      <w:r w:rsidRPr="00014159">
        <w:rPr>
          <w:rFonts w:ascii="Calibri" w:hAnsi="Calibri" w:cs="Calibri"/>
          <w:szCs w:val="24"/>
        </w:rPr>
        <w:t xml:space="preserve"> </w:t>
      </w:r>
    </w:p>
    <w:p w14:paraId="2DEB0E50" w14:textId="4C7CB8B0" w:rsidR="00A12889" w:rsidRPr="00014159" w:rsidRDefault="00A12889" w:rsidP="004029CC">
      <w:pPr>
        <w:pStyle w:val="ListParagraph"/>
        <w:rPr>
          <w:rFonts w:ascii="Calibri" w:hAnsi="Calibri" w:cs="Calibri"/>
          <w:sz w:val="24"/>
          <w:szCs w:val="24"/>
        </w:rPr>
      </w:pPr>
    </w:p>
    <w:tbl>
      <w:tblPr>
        <w:tblStyle w:val="TableGrid"/>
        <w:tblW w:w="9072" w:type="dxa"/>
        <w:tblInd w:w="-5" w:type="dxa"/>
        <w:tblLook w:val="04A0" w:firstRow="1" w:lastRow="0" w:firstColumn="1" w:lastColumn="0" w:noHBand="0" w:noVBand="1"/>
      </w:tblPr>
      <w:tblGrid>
        <w:gridCol w:w="9072"/>
      </w:tblGrid>
      <w:tr w:rsidR="00014159" w:rsidRPr="00014159" w14:paraId="306E1324" w14:textId="77777777" w:rsidTr="00EC09E9">
        <w:tc>
          <w:tcPr>
            <w:tcW w:w="9072" w:type="dxa"/>
            <w:shd w:val="clear" w:color="auto" w:fill="F2F2F2" w:themeFill="background1" w:themeFillShade="F2"/>
          </w:tcPr>
          <w:p w14:paraId="4D8C0859" w14:textId="77777777" w:rsidR="00EC09E9" w:rsidRPr="00014159" w:rsidRDefault="00EC09E9" w:rsidP="00EC09E9">
            <w:pPr>
              <w:jc w:val="center"/>
              <w:rPr>
                <w:rFonts w:ascii="Calibri" w:hAnsi="Calibri" w:cs="Calibri"/>
                <w:b/>
                <w:bCs/>
                <w:sz w:val="28"/>
                <w:szCs w:val="28"/>
              </w:rPr>
            </w:pPr>
            <w:bookmarkStart w:id="0" w:name="_Hlk153383284"/>
            <w:r w:rsidRPr="00014159">
              <w:rPr>
                <w:rFonts w:ascii="Calibri" w:hAnsi="Calibri" w:cs="Calibri"/>
                <w:b/>
                <w:bCs/>
                <w:sz w:val="28"/>
                <w:szCs w:val="28"/>
              </w:rPr>
              <w:t>Safety and Escalation</w:t>
            </w:r>
          </w:p>
          <w:p w14:paraId="23668E4E" w14:textId="2EB414BB" w:rsidR="007F050A" w:rsidRPr="00014159" w:rsidRDefault="007F050A" w:rsidP="00EC09E9">
            <w:pPr>
              <w:jc w:val="center"/>
              <w:rPr>
                <w:rFonts w:ascii="Calibri" w:hAnsi="Calibri" w:cs="Calibri"/>
                <w:b/>
                <w:bCs/>
                <w:sz w:val="24"/>
                <w:szCs w:val="24"/>
              </w:rPr>
            </w:pPr>
          </w:p>
        </w:tc>
      </w:tr>
    </w:tbl>
    <w:bookmarkEnd w:id="0"/>
    <w:p w14:paraId="1CE3D329" w14:textId="0D2FA092" w:rsidR="00CD0A36" w:rsidRPr="00014159" w:rsidRDefault="00E33189" w:rsidP="00A12889">
      <w:pPr>
        <w:jc w:val="both"/>
        <w:rPr>
          <w:rFonts w:ascii="Calibri" w:hAnsi="Calibri" w:cs="Calibri"/>
          <w:sz w:val="24"/>
          <w:szCs w:val="24"/>
        </w:rPr>
      </w:pPr>
      <w:r w:rsidRPr="00014159">
        <w:rPr>
          <w:rFonts w:ascii="Calibri" w:hAnsi="Calibri" w:cs="Calibri"/>
          <w:sz w:val="24"/>
          <w:szCs w:val="24"/>
        </w:rPr>
        <w:t xml:space="preserve">All referrals will be </w:t>
      </w:r>
      <w:r w:rsidR="00CD0A36" w:rsidRPr="00014159">
        <w:rPr>
          <w:rFonts w:ascii="Calibri" w:hAnsi="Calibri" w:cs="Calibri"/>
          <w:sz w:val="24"/>
          <w:szCs w:val="24"/>
        </w:rPr>
        <w:t xml:space="preserve">considered promptly by the LA with responsibility.  It is accepted that each LA’s capacity to consider referrals may vary significantly and each may weigh or prioritise referrals differently.  </w:t>
      </w:r>
    </w:p>
    <w:p w14:paraId="14EFFF9F" w14:textId="6B015F5B" w:rsidR="00E33189" w:rsidRPr="00014159" w:rsidRDefault="00E33189" w:rsidP="007F050A">
      <w:pPr>
        <w:rPr>
          <w:rFonts w:ascii="Calibri" w:eastAsia="Times New Roman" w:hAnsi="Calibri" w:cs="Calibri"/>
          <w:sz w:val="24"/>
          <w:szCs w:val="24"/>
        </w:rPr>
      </w:pPr>
      <w:r w:rsidRPr="00014159">
        <w:rPr>
          <w:rFonts w:ascii="Calibri" w:hAnsi="Calibri" w:cs="Calibri"/>
          <w:sz w:val="24"/>
          <w:szCs w:val="24"/>
        </w:rPr>
        <w:t>Should a referrer be concerned that a referral has not been considered, contact should be made to AMHP Lead</w:t>
      </w:r>
      <w:r w:rsidR="007F050A" w:rsidRPr="00014159">
        <w:rPr>
          <w:rFonts w:ascii="Calibri" w:hAnsi="Calibri" w:cs="Calibri"/>
          <w:sz w:val="24"/>
          <w:szCs w:val="24"/>
        </w:rPr>
        <w:t xml:space="preserve"> for the LA who has responsibility to consider an assessment.   </w:t>
      </w:r>
      <w:r w:rsidRPr="00014159">
        <w:rPr>
          <w:rFonts w:ascii="Calibri" w:hAnsi="Calibri" w:cs="Calibri"/>
          <w:sz w:val="24"/>
          <w:szCs w:val="24"/>
        </w:rPr>
        <w:t xml:space="preserve"> </w:t>
      </w:r>
    </w:p>
    <w:tbl>
      <w:tblPr>
        <w:tblStyle w:val="TableGrid"/>
        <w:tblW w:w="9072" w:type="dxa"/>
        <w:tblInd w:w="-5" w:type="dxa"/>
        <w:tblLook w:val="04A0" w:firstRow="1" w:lastRow="0" w:firstColumn="1" w:lastColumn="0" w:noHBand="0" w:noVBand="1"/>
      </w:tblPr>
      <w:tblGrid>
        <w:gridCol w:w="9072"/>
      </w:tblGrid>
      <w:tr w:rsidR="00014159" w:rsidRPr="00014159" w14:paraId="0E802956" w14:textId="77777777" w:rsidTr="00172B25">
        <w:tc>
          <w:tcPr>
            <w:tcW w:w="9072" w:type="dxa"/>
            <w:shd w:val="clear" w:color="auto" w:fill="F2F2F2" w:themeFill="background1" w:themeFillShade="F2"/>
          </w:tcPr>
          <w:p w14:paraId="69CFD791" w14:textId="77777777" w:rsidR="00EC09E9" w:rsidRPr="00014159" w:rsidRDefault="00EC09E9" w:rsidP="00172B25">
            <w:pPr>
              <w:jc w:val="center"/>
              <w:rPr>
                <w:rFonts w:ascii="Calibri" w:hAnsi="Calibri" w:cs="Calibri"/>
                <w:b/>
                <w:bCs/>
                <w:sz w:val="28"/>
                <w:szCs w:val="28"/>
              </w:rPr>
            </w:pPr>
            <w:r w:rsidRPr="00014159">
              <w:rPr>
                <w:rFonts w:ascii="Calibri" w:hAnsi="Calibri" w:cs="Calibri"/>
                <w:b/>
                <w:bCs/>
                <w:sz w:val="28"/>
                <w:szCs w:val="28"/>
              </w:rPr>
              <w:t>Disagreement or dispute</w:t>
            </w:r>
          </w:p>
          <w:p w14:paraId="512B8AFF" w14:textId="25A9452F" w:rsidR="00EC09E9" w:rsidRPr="00014159" w:rsidRDefault="00EC09E9" w:rsidP="00172B25">
            <w:pPr>
              <w:jc w:val="center"/>
              <w:rPr>
                <w:rFonts w:ascii="Calibri" w:hAnsi="Calibri" w:cs="Calibri"/>
                <w:b/>
                <w:bCs/>
                <w:sz w:val="24"/>
                <w:szCs w:val="24"/>
              </w:rPr>
            </w:pPr>
          </w:p>
        </w:tc>
      </w:tr>
    </w:tbl>
    <w:p w14:paraId="03BF2B41" w14:textId="1842655F" w:rsidR="00207C7D" w:rsidRPr="00014159" w:rsidRDefault="00207C7D" w:rsidP="00AB5A83">
      <w:pPr>
        <w:rPr>
          <w:rFonts w:ascii="Calibri" w:eastAsia="Times New Roman" w:hAnsi="Calibri" w:cs="Calibri"/>
          <w:sz w:val="24"/>
          <w:szCs w:val="24"/>
        </w:rPr>
      </w:pPr>
      <w:r w:rsidRPr="00014159">
        <w:rPr>
          <w:rFonts w:ascii="Calibri" w:hAnsi="Calibri" w:cs="Calibri"/>
          <w:sz w:val="24"/>
          <w:szCs w:val="24"/>
        </w:rPr>
        <w:t xml:space="preserve">The use of this guidance should negate any disagreement or dispute. </w:t>
      </w:r>
      <w:r w:rsidR="00E33189" w:rsidRPr="00014159">
        <w:rPr>
          <w:rFonts w:ascii="Calibri" w:hAnsi="Calibri" w:cs="Calibri"/>
          <w:sz w:val="24"/>
          <w:szCs w:val="24"/>
        </w:rPr>
        <w:t>Any complaints or practice issues to be sent to the AMHP Lead</w:t>
      </w:r>
      <w:r w:rsidR="00CD0A36" w:rsidRPr="00014159">
        <w:rPr>
          <w:rFonts w:ascii="Calibri" w:hAnsi="Calibri" w:cs="Calibri"/>
          <w:sz w:val="24"/>
          <w:szCs w:val="24"/>
        </w:rPr>
        <w:t xml:space="preserve"> for the LA who has responsibility to consider an assessment. </w:t>
      </w:r>
      <w:r w:rsidR="00E33189" w:rsidRPr="00014159">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9016"/>
      </w:tblGrid>
      <w:tr w:rsidR="00014159" w:rsidRPr="00014159" w14:paraId="7D1832F7" w14:textId="77777777" w:rsidTr="00EC09E9">
        <w:tc>
          <w:tcPr>
            <w:tcW w:w="9016" w:type="dxa"/>
            <w:shd w:val="clear" w:color="auto" w:fill="F2F2F2" w:themeFill="background1" w:themeFillShade="F2"/>
          </w:tcPr>
          <w:p w14:paraId="3F6DE3A5" w14:textId="67C60569" w:rsidR="00472311" w:rsidRPr="00014159" w:rsidRDefault="00472311">
            <w:pPr>
              <w:rPr>
                <w:rFonts w:ascii="Calibri" w:hAnsi="Calibri" w:cs="Calibri"/>
                <w:sz w:val="20"/>
                <w:szCs w:val="20"/>
              </w:rPr>
            </w:pPr>
            <w:r w:rsidRPr="00014159">
              <w:rPr>
                <w:rFonts w:ascii="Calibri" w:hAnsi="Calibri" w:cs="Calibri"/>
                <w:sz w:val="20"/>
                <w:szCs w:val="20"/>
              </w:rPr>
              <w:t>Agreement date:</w:t>
            </w:r>
            <w:r w:rsidR="00AB5A83" w:rsidRPr="00014159">
              <w:rPr>
                <w:rFonts w:ascii="Calibri" w:hAnsi="Calibri" w:cs="Calibri"/>
                <w:sz w:val="20"/>
                <w:szCs w:val="20"/>
              </w:rPr>
              <w:t xml:space="preserve"> </w:t>
            </w:r>
          </w:p>
          <w:p w14:paraId="563F4F4D" w14:textId="77777777" w:rsidR="00472311" w:rsidRPr="00014159" w:rsidRDefault="00472311">
            <w:pPr>
              <w:rPr>
                <w:rFonts w:ascii="Calibri" w:hAnsi="Calibri" w:cs="Calibri"/>
                <w:sz w:val="20"/>
                <w:szCs w:val="20"/>
              </w:rPr>
            </w:pPr>
          </w:p>
          <w:p w14:paraId="40409B75" w14:textId="32CA864E" w:rsidR="00472311" w:rsidRPr="00014159" w:rsidRDefault="00472311">
            <w:pPr>
              <w:rPr>
                <w:rFonts w:ascii="Calibri" w:hAnsi="Calibri" w:cs="Calibri"/>
                <w:sz w:val="20"/>
                <w:szCs w:val="20"/>
              </w:rPr>
            </w:pPr>
            <w:r w:rsidRPr="00014159">
              <w:rPr>
                <w:rFonts w:ascii="Calibri" w:hAnsi="Calibri" w:cs="Calibri"/>
                <w:sz w:val="20"/>
                <w:szCs w:val="20"/>
              </w:rPr>
              <w:t>Review date:</w:t>
            </w:r>
            <w:r w:rsidR="00AB5A83" w:rsidRPr="00014159">
              <w:rPr>
                <w:rFonts w:ascii="Calibri" w:hAnsi="Calibri" w:cs="Calibri"/>
                <w:sz w:val="20"/>
                <w:szCs w:val="20"/>
              </w:rPr>
              <w:t xml:space="preserve"> </w:t>
            </w:r>
          </w:p>
          <w:p w14:paraId="42E6827C" w14:textId="77777777" w:rsidR="00EC09E9" w:rsidRPr="00014159" w:rsidRDefault="00EC09E9">
            <w:pPr>
              <w:rPr>
                <w:rFonts w:ascii="Calibri" w:hAnsi="Calibri" w:cs="Calibri"/>
                <w:sz w:val="20"/>
                <w:szCs w:val="20"/>
              </w:rPr>
            </w:pPr>
          </w:p>
          <w:p w14:paraId="60AD98E0" w14:textId="1E8F2D2A" w:rsidR="00EC09E9" w:rsidRPr="00014159" w:rsidRDefault="00EC09E9">
            <w:pPr>
              <w:rPr>
                <w:rFonts w:ascii="Calibri" w:hAnsi="Calibri" w:cs="Calibri"/>
                <w:sz w:val="20"/>
                <w:szCs w:val="20"/>
              </w:rPr>
            </w:pPr>
            <w:r w:rsidRPr="00014159">
              <w:rPr>
                <w:rFonts w:ascii="Calibri" w:hAnsi="Calibri" w:cs="Calibri"/>
                <w:sz w:val="20"/>
                <w:szCs w:val="20"/>
              </w:rPr>
              <w:t>Prepared by:</w:t>
            </w:r>
            <w:r w:rsidR="00AB5A83" w:rsidRPr="00014159">
              <w:rPr>
                <w:rFonts w:ascii="Calibri" w:hAnsi="Calibri" w:cs="Calibri"/>
                <w:sz w:val="20"/>
                <w:szCs w:val="20"/>
              </w:rPr>
              <w:t xml:space="preserve"> </w:t>
            </w:r>
          </w:p>
          <w:p w14:paraId="5994786D" w14:textId="77777777" w:rsidR="00EC09E9" w:rsidRPr="00014159" w:rsidRDefault="00EC09E9">
            <w:pPr>
              <w:rPr>
                <w:rFonts w:ascii="Calibri" w:hAnsi="Calibri" w:cs="Calibri"/>
                <w:sz w:val="20"/>
                <w:szCs w:val="20"/>
              </w:rPr>
            </w:pPr>
          </w:p>
          <w:p w14:paraId="30DBD8C8" w14:textId="10E8AF0E" w:rsidR="00EC09E9" w:rsidRPr="00014159" w:rsidRDefault="00EC09E9">
            <w:pPr>
              <w:rPr>
                <w:rFonts w:ascii="Calibri" w:hAnsi="Calibri" w:cs="Calibri"/>
                <w:sz w:val="24"/>
                <w:szCs w:val="24"/>
              </w:rPr>
            </w:pPr>
            <w:r w:rsidRPr="00014159">
              <w:rPr>
                <w:rFonts w:ascii="Calibri" w:hAnsi="Calibri" w:cs="Calibri"/>
                <w:sz w:val="20"/>
                <w:szCs w:val="20"/>
              </w:rPr>
              <w:t>Agreed by:</w:t>
            </w:r>
            <w:r w:rsidRPr="00014159">
              <w:rPr>
                <w:rFonts w:ascii="Calibri" w:hAnsi="Calibri" w:cs="Calibri"/>
                <w:sz w:val="24"/>
                <w:szCs w:val="24"/>
              </w:rPr>
              <w:t xml:space="preserve"> </w:t>
            </w:r>
          </w:p>
        </w:tc>
      </w:tr>
    </w:tbl>
    <w:p w14:paraId="4C2B0719" w14:textId="77777777" w:rsidR="00335AF3" w:rsidRPr="00014159" w:rsidRDefault="00335AF3" w:rsidP="00AB5A83">
      <w:pPr>
        <w:rPr>
          <w:rFonts w:ascii="Calibri" w:hAnsi="Calibri" w:cs="Calibri"/>
          <w:sz w:val="24"/>
          <w:szCs w:val="24"/>
        </w:rPr>
      </w:pPr>
    </w:p>
    <w:sectPr w:rsidR="00335AF3" w:rsidRPr="0001415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0530" w14:textId="77777777" w:rsidR="00D9733F" w:rsidRDefault="00D9733F" w:rsidP="00B53F69">
      <w:pPr>
        <w:spacing w:after="0" w:line="240" w:lineRule="auto"/>
      </w:pPr>
      <w:r>
        <w:separator/>
      </w:r>
    </w:p>
  </w:endnote>
  <w:endnote w:type="continuationSeparator" w:id="0">
    <w:p w14:paraId="019E4BBE" w14:textId="77777777" w:rsidR="00D9733F" w:rsidRDefault="00D9733F" w:rsidP="00B5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010E" w14:textId="77777777" w:rsidR="00B53F69" w:rsidRDefault="00B53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BE2A" w14:textId="77777777" w:rsidR="00B53F69" w:rsidRDefault="00B53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6DBF" w14:textId="77777777" w:rsidR="00B53F69" w:rsidRDefault="00B53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14117" w14:textId="77777777" w:rsidR="00D9733F" w:rsidRDefault="00D9733F" w:rsidP="00B53F69">
      <w:pPr>
        <w:spacing w:after="0" w:line="240" w:lineRule="auto"/>
      </w:pPr>
      <w:r>
        <w:separator/>
      </w:r>
    </w:p>
  </w:footnote>
  <w:footnote w:type="continuationSeparator" w:id="0">
    <w:p w14:paraId="0A5EFF13" w14:textId="77777777" w:rsidR="00D9733F" w:rsidRDefault="00D9733F" w:rsidP="00B5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82943" w14:textId="1D2AE877" w:rsidR="00B53F69" w:rsidRDefault="00B53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4833" w14:textId="1224E697" w:rsidR="00B53F69" w:rsidRDefault="00B53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A3DC" w14:textId="74D4A781" w:rsidR="00B53F69" w:rsidRDefault="00B53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9CA"/>
    <w:multiLevelType w:val="hybridMultilevel"/>
    <w:tmpl w:val="888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2C29"/>
    <w:multiLevelType w:val="hybridMultilevel"/>
    <w:tmpl w:val="D294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55A66"/>
    <w:multiLevelType w:val="hybridMultilevel"/>
    <w:tmpl w:val="7D0E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FB0D27"/>
    <w:multiLevelType w:val="hybridMultilevel"/>
    <w:tmpl w:val="C1A2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A2BD7"/>
    <w:multiLevelType w:val="hybridMultilevel"/>
    <w:tmpl w:val="1DC2DC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270828"/>
    <w:multiLevelType w:val="hybridMultilevel"/>
    <w:tmpl w:val="11F8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63E2F"/>
    <w:multiLevelType w:val="hybridMultilevel"/>
    <w:tmpl w:val="B8B2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93D96"/>
    <w:multiLevelType w:val="hybridMultilevel"/>
    <w:tmpl w:val="EC3A2D86"/>
    <w:lvl w:ilvl="0" w:tplc="A142DE0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13313D"/>
    <w:multiLevelType w:val="hybridMultilevel"/>
    <w:tmpl w:val="7450B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830DD4"/>
    <w:multiLevelType w:val="hybridMultilevel"/>
    <w:tmpl w:val="BCF6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E10BC"/>
    <w:multiLevelType w:val="hybridMultilevel"/>
    <w:tmpl w:val="61429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D28DA"/>
    <w:multiLevelType w:val="hybridMultilevel"/>
    <w:tmpl w:val="BDEA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6759C"/>
    <w:multiLevelType w:val="hybridMultilevel"/>
    <w:tmpl w:val="439AE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770270"/>
    <w:multiLevelType w:val="hybridMultilevel"/>
    <w:tmpl w:val="4A48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E54E3"/>
    <w:multiLevelType w:val="hybridMultilevel"/>
    <w:tmpl w:val="A5FE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360A9"/>
    <w:multiLevelType w:val="hybridMultilevel"/>
    <w:tmpl w:val="FAE6D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71247019">
    <w:abstractNumId w:val="4"/>
  </w:num>
  <w:num w:numId="2" w16cid:durableId="1574001663">
    <w:abstractNumId w:val="2"/>
  </w:num>
  <w:num w:numId="3" w16cid:durableId="915551285">
    <w:abstractNumId w:val="2"/>
  </w:num>
  <w:num w:numId="4" w16cid:durableId="445858068">
    <w:abstractNumId w:val="10"/>
  </w:num>
  <w:num w:numId="5" w16cid:durableId="344482583">
    <w:abstractNumId w:val="5"/>
  </w:num>
  <w:num w:numId="6" w16cid:durableId="444617728">
    <w:abstractNumId w:val="8"/>
  </w:num>
  <w:num w:numId="7" w16cid:durableId="481388280">
    <w:abstractNumId w:val="15"/>
  </w:num>
  <w:num w:numId="8" w16cid:durableId="555358268">
    <w:abstractNumId w:val="12"/>
  </w:num>
  <w:num w:numId="9" w16cid:durableId="243686920">
    <w:abstractNumId w:val="6"/>
  </w:num>
  <w:num w:numId="10" w16cid:durableId="697777479">
    <w:abstractNumId w:val="14"/>
  </w:num>
  <w:num w:numId="11" w16cid:durableId="1418938849">
    <w:abstractNumId w:val="7"/>
  </w:num>
  <w:num w:numId="12" w16cid:durableId="1019815674">
    <w:abstractNumId w:val="1"/>
  </w:num>
  <w:num w:numId="13" w16cid:durableId="1823279774">
    <w:abstractNumId w:val="3"/>
  </w:num>
  <w:num w:numId="14" w16cid:durableId="2038047259">
    <w:abstractNumId w:val="9"/>
  </w:num>
  <w:num w:numId="15" w16cid:durableId="497501390">
    <w:abstractNumId w:val="0"/>
  </w:num>
  <w:num w:numId="16" w16cid:durableId="1146703264">
    <w:abstractNumId w:val="11"/>
  </w:num>
  <w:num w:numId="17" w16cid:durableId="4359533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80"/>
    <w:rsid w:val="000122AF"/>
    <w:rsid w:val="00014159"/>
    <w:rsid w:val="000856F4"/>
    <w:rsid w:val="00120366"/>
    <w:rsid w:val="0016397C"/>
    <w:rsid w:val="00207C7D"/>
    <w:rsid w:val="00213E7F"/>
    <w:rsid w:val="002152A6"/>
    <w:rsid w:val="00280C4A"/>
    <w:rsid w:val="002B3E2A"/>
    <w:rsid w:val="00335AF3"/>
    <w:rsid w:val="004029CC"/>
    <w:rsid w:val="00472311"/>
    <w:rsid w:val="00487B4F"/>
    <w:rsid w:val="00490574"/>
    <w:rsid w:val="005658E4"/>
    <w:rsid w:val="0058352B"/>
    <w:rsid w:val="00593DB9"/>
    <w:rsid w:val="006752C9"/>
    <w:rsid w:val="00790522"/>
    <w:rsid w:val="007F050A"/>
    <w:rsid w:val="00872CF2"/>
    <w:rsid w:val="008D0481"/>
    <w:rsid w:val="00907D51"/>
    <w:rsid w:val="0097337B"/>
    <w:rsid w:val="009D40BE"/>
    <w:rsid w:val="00A00D80"/>
    <w:rsid w:val="00A12889"/>
    <w:rsid w:val="00A8767B"/>
    <w:rsid w:val="00AB5A83"/>
    <w:rsid w:val="00B53F69"/>
    <w:rsid w:val="00B54EF6"/>
    <w:rsid w:val="00B853D7"/>
    <w:rsid w:val="00C15CAE"/>
    <w:rsid w:val="00C4661C"/>
    <w:rsid w:val="00C92F97"/>
    <w:rsid w:val="00CB2D4A"/>
    <w:rsid w:val="00CD0A36"/>
    <w:rsid w:val="00CD0A75"/>
    <w:rsid w:val="00D9733F"/>
    <w:rsid w:val="00DB098B"/>
    <w:rsid w:val="00E33189"/>
    <w:rsid w:val="00E8331B"/>
    <w:rsid w:val="00EC09E9"/>
    <w:rsid w:val="00F00BCC"/>
    <w:rsid w:val="00F4160A"/>
    <w:rsid w:val="00FF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EA93"/>
  <w15:chartTrackingRefBased/>
  <w15:docId w15:val="{CCF8714B-F35B-4A98-BEFD-2074471F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F3"/>
    <w:pPr>
      <w:ind w:left="720"/>
      <w:contextualSpacing/>
    </w:pPr>
  </w:style>
  <w:style w:type="table" w:styleId="TableGrid">
    <w:name w:val="Table Grid"/>
    <w:basedOn w:val="TableNormal"/>
    <w:uiPriority w:val="39"/>
    <w:rsid w:val="0047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029CC"/>
    <w:pPr>
      <w:spacing w:after="0" w:line="240" w:lineRule="auto"/>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B53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F69"/>
  </w:style>
  <w:style w:type="paragraph" w:styleId="Footer">
    <w:name w:val="footer"/>
    <w:basedOn w:val="Normal"/>
    <w:link w:val="FooterChar"/>
    <w:uiPriority w:val="99"/>
    <w:unhideWhenUsed/>
    <w:rsid w:val="00B53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Brammer, Andy</dc:creator>
  <cp:keywords/>
  <dc:description/>
  <cp:lastModifiedBy>Lucy Edwards</cp:lastModifiedBy>
  <cp:revision>2</cp:revision>
  <dcterms:created xsi:type="dcterms:W3CDTF">2024-05-02T10:57:00Z</dcterms:created>
  <dcterms:modified xsi:type="dcterms:W3CDTF">2024-05-02T10:57:00Z</dcterms:modified>
</cp:coreProperties>
</file>