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9114" w14:textId="0ACD826B" w:rsidR="00FF2579" w:rsidRDefault="00767DC0">
      <w:r>
        <w:rPr>
          <w:noProof/>
        </w:rPr>
        <w:drawing>
          <wp:inline distT="0" distB="0" distL="0" distR="0" wp14:anchorId="0910FEAB" wp14:editId="3E625C1E">
            <wp:extent cx="2152666" cy="1104908"/>
            <wp:effectExtent l="0" t="0" r="0" b="0"/>
            <wp:docPr id="2" name="Picture 2" descr="Calderdale Safeguarding Adult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derdale Safeguarding Adults Board"/>
                    <pic:cNvPicPr/>
                  </pic:nvPicPr>
                  <pic:blipFill>
                    <a:blip r:embed="rId8">
                      <a:extLst>
                        <a:ext uri="{28A0092B-C50C-407E-A947-70E740481C1C}">
                          <a14:useLocalDpi xmlns:a14="http://schemas.microsoft.com/office/drawing/2010/main" val="0"/>
                        </a:ext>
                      </a:extLst>
                    </a:blip>
                    <a:stretch>
                      <a:fillRect/>
                    </a:stretch>
                  </pic:blipFill>
                  <pic:spPr>
                    <a:xfrm>
                      <a:off x="0" y="0"/>
                      <a:ext cx="2152666" cy="1104908"/>
                    </a:xfrm>
                    <a:prstGeom prst="rect">
                      <a:avLst/>
                    </a:prstGeom>
                  </pic:spPr>
                </pic:pic>
              </a:graphicData>
            </a:graphic>
          </wp:inline>
        </w:drawing>
      </w:r>
    </w:p>
    <w:p w14:paraId="25D479B9" w14:textId="6D9BD4B3" w:rsidR="001A7765" w:rsidRPr="003719D3" w:rsidRDefault="00E67C8A" w:rsidP="0075038D">
      <w:pPr>
        <w:pStyle w:val="Heading1"/>
        <w:spacing w:after="600"/>
        <w:jc w:val="center"/>
        <w:rPr>
          <w:rFonts w:asciiTheme="minorHAnsi" w:hAnsiTheme="minorHAnsi" w:cstheme="minorHAnsi"/>
          <w:b/>
          <w:bCs/>
          <w:color w:val="auto"/>
          <w:sz w:val="56"/>
          <w:szCs w:val="56"/>
        </w:rPr>
      </w:pPr>
      <w:bookmarkStart w:id="0" w:name="_Toc132180224"/>
      <w:bookmarkStart w:id="1" w:name="_Toc132180468"/>
      <w:bookmarkStart w:id="2" w:name="_Toc157066723"/>
      <w:bookmarkStart w:id="3" w:name="_Toc157066948"/>
      <w:bookmarkStart w:id="4" w:name="_Toc157066996"/>
      <w:r w:rsidRPr="00F5046A">
        <w:rPr>
          <w:rFonts w:asciiTheme="minorHAnsi" w:hAnsiTheme="minorHAnsi" w:cstheme="minorHAnsi"/>
          <w:b/>
          <w:bCs/>
          <w:color w:val="auto"/>
          <w:sz w:val="56"/>
          <w:szCs w:val="56"/>
        </w:rPr>
        <w:t xml:space="preserve">Safeguarding Adults </w:t>
      </w:r>
      <w:r w:rsidR="001A7765" w:rsidRPr="00F5046A">
        <w:rPr>
          <w:rFonts w:asciiTheme="minorHAnsi" w:hAnsiTheme="minorHAnsi" w:cstheme="minorHAnsi"/>
          <w:b/>
          <w:bCs/>
          <w:color w:val="auto"/>
          <w:sz w:val="56"/>
          <w:szCs w:val="56"/>
        </w:rPr>
        <w:t>Large Scale Enquir</w:t>
      </w:r>
      <w:r w:rsidRPr="00F5046A">
        <w:rPr>
          <w:rFonts w:asciiTheme="minorHAnsi" w:hAnsiTheme="minorHAnsi" w:cstheme="minorHAnsi"/>
          <w:b/>
          <w:bCs/>
          <w:color w:val="auto"/>
          <w:sz w:val="56"/>
          <w:szCs w:val="56"/>
        </w:rPr>
        <w:t xml:space="preserve">y Policy and </w:t>
      </w:r>
      <w:r w:rsidR="003C1185" w:rsidRPr="00F5046A">
        <w:rPr>
          <w:rFonts w:asciiTheme="minorHAnsi" w:hAnsiTheme="minorHAnsi" w:cstheme="minorHAnsi"/>
          <w:b/>
          <w:bCs/>
          <w:color w:val="auto"/>
          <w:sz w:val="56"/>
          <w:szCs w:val="56"/>
        </w:rPr>
        <w:t>P</w:t>
      </w:r>
      <w:r w:rsidRPr="00F5046A">
        <w:rPr>
          <w:rFonts w:asciiTheme="minorHAnsi" w:hAnsiTheme="minorHAnsi" w:cstheme="minorHAnsi"/>
          <w:b/>
          <w:bCs/>
          <w:color w:val="auto"/>
          <w:sz w:val="56"/>
          <w:szCs w:val="56"/>
        </w:rPr>
        <w:t>rocedure</w:t>
      </w:r>
      <w:r w:rsidR="003C1185" w:rsidRPr="00F5046A">
        <w:rPr>
          <w:rFonts w:asciiTheme="minorHAnsi" w:hAnsiTheme="minorHAnsi" w:cstheme="minorHAnsi"/>
          <w:b/>
          <w:bCs/>
          <w:color w:val="auto"/>
          <w:sz w:val="56"/>
          <w:szCs w:val="56"/>
        </w:rPr>
        <w:t>:</w:t>
      </w:r>
      <w:bookmarkEnd w:id="0"/>
      <w:bookmarkEnd w:id="1"/>
      <w:bookmarkEnd w:id="2"/>
      <w:bookmarkEnd w:id="3"/>
      <w:bookmarkEnd w:id="4"/>
    </w:p>
    <w:p w14:paraId="3FF707D3" w14:textId="77777777" w:rsidR="003C1185" w:rsidRPr="00E55D6E" w:rsidRDefault="003C1185" w:rsidP="003C1185">
      <w:pPr>
        <w:jc w:val="center"/>
        <w:rPr>
          <w:rFonts w:ascii="Helvetica" w:hAnsi="Helvetica" w:cs="Helvetica"/>
          <w:b/>
          <w:bCs/>
          <w:u w:val="single"/>
        </w:rPr>
      </w:pPr>
      <w:r w:rsidRPr="00E55D6E">
        <w:rPr>
          <w:rFonts w:ascii="Helvetica" w:hAnsi="Helvetica" w:cs="Helvetica"/>
          <w:b/>
          <w:bCs/>
          <w:u w:val="single"/>
        </w:rPr>
        <w:t xml:space="preserve">THIS IS A CONTROLLED DOCUMENT </w:t>
      </w:r>
    </w:p>
    <w:p w14:paraId="3B527998" w14:textId="32E372AE" w:rsidR="0075038D" w:rsidRDefault="003C1185" w:rsidP="00682575">
      <w:pPr>
        <w:jc w:val="center"/>
        <w:rPr>
          <w:rFonts w:ascii="Helvetica" w:hAnsi="Helvetica" w:cs="Helvetica"/>
        </w:rPr>
        <w:sectPr w:rsidR="0075038D" w:rsidSect="00813C71">
          <w:footerReference w:type="default" r:id="rId9"/>
          <w:pgSz w:w="11911" w:h="16841"/>
          <w:pgMar w:top="709" w:right="1236" w:bottom="1431" w:left="1320" w:header="720" w:footer="972" w:gutter="0"/>
          <w:cols w:space="720"/>
        </w:sectPr>
      </w:pPr>
      <w:r w:rsidRPr="00E55D6E">
        <w:rPr>
          <w:rFonts w:ascii="Helvetica" w:hAnsi="Helvetica" w:cs="Helvetica"/>
        </w:rPr>
        <w:t>Whilst this document may be printed, the electronic version maintained on the policy portal is the controlled copy. Any printed copies of this document are not controlled. It is the responsibility of every individual to ensure that they are working to the most current version of this document</w:t>
      </w:r>
      <w:r>
        <w:rPr>
          <w:rFonts w:ascii="Helvetica" w:hAnsi="Helvetica" w:cs="Helvetica"/>
        </w:rPr>
        <w:t>.</w:t>
      </w:r>
    </w:p>
    <w:p w14:paraId="7FA6277D" w14:textId="77777777" w:rsidR="0075038D" w:rsidRPr="0075038D" w:rsidRDefault="0075038D" w:rsidP="00BC3B9C">
      <w:pPr>
        <w:rPr>
          <w:rFonts w:ascii="Helvetica" w:hAnsi="Helvetica" w:cs="Helvetica"/>
        </w:rPr>
      </w:pPr>
    </w:p>
    <w:tbl>
      <w:tblPr>
        <w:tblpPr w:leftFromText="180" w:rightFromText="180" w:vertAnchor="text" w:horzAnchor="margin" w:tblpY="-2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6770"/>
      </w:tblGrid>
      <w:tr w:rsidR="0075038D" w:rsidRPr="00E90F45" w14:paraId="68B4D519" w14:textId="77777777" w:rsidTr="008D6932">
        <w:trPr>
          <w:trHeight w:val="357"/>
        </w:trPr>
        <w:tc>
          <w:tcPr>
            <w:tcW w:w="2836" w:type="dxa"/>
            <w:shd w:val="clear" w:color="auto" w:fill="auto"/>
          </w:tcPr>
          <w:p w14:paraId="0EDEF222" w14:textId="77777777" w:rsidR="0075038D" w:rsidRPr="00E90F45" w:rsidRDefault="0075038D" w:rsidP="008D6932">
            <w:pPr>
              <w:keepNext/>
              <w:tabs>
                <w:tab w:val="left" w:pos="2160"/>
              </w:tabs>
              <w:spacing w:before="100" w:beforeAutospacing="1" w:after="100" w:afterAutospacing="1" w:line="360" w:lineRule="auto"/>
              <w:contextualSpacing/>
              <w:outlineLvl w:val="3"/>
              <w:rPr>
                <w:rFonts w:ascii="Arial" w:eastAsia="Times New Roman" w:hAnsi="Arial" w:cs="Arial"/>
                <w:b/>
                <w:lang w:eastAsia="en-GB"/>
              </w:rPr>
            </w:pPr>
            <w:r w:rsidRPr="00E90F45">
              <w:rPr>
                <w:rFonts w:ascii="Arial" w:eastAsia="Times New Roman" w:hAnsi="Arial" w:cs="Arial"/>
                <w:b/>
                <w:lang w:eastAsia="en-GB"/>
              </w:rPr>
              <w:t>Date Approved:</w:t>
            </w:r>
          </w:p>
        </w:tc>
        <w:tc>
          <w:tcPr>
            <w:tcW w:w="6770" w:type="dxa"/>
            <w:shd w:val="clear" w:color="auto" w:fill="auto"/>
          </w:tcPr>
          <w:p w14:paraId="19FBB754" w14:textId="77777777" w:rsidR="0075038D" w:rsidRPr="00E90F45" w:rsidRDefault="0075038D" w:rsidP="008D6932">
            <w:pPr>
              <w:keepNext/>
              <w:tabs>
                <w:tab w:val="left" w:pos="2160"/>
              </w:tabs>
              <w:spacing w:before="100" w:beforeAutospacing="1" w:after="100" w:afterAutospacing="1" w:line="360" w:lineRule="auto"/>
              <w:contextualSpacing/>
              <w:outlineLvl w:val="3"/>
              <w:rPr>
                <w:rFonts w:ascii="Arial" w:eastAsia="Times New Roman" w:hAnsi="Arial" w:cs="Arial"/>
                <w:bCs/>
                <w:i/>
                <w:lang w:eastAsia="en-GB"/>
              </w:rPr>
            </w:pPr>
          </w:p>
        </w:tc>
      </w:tr>
      <w:tr w:rsidR="0075038D" w:rsidRPr="00E90F45" w14:paraId="57003466" w14:textId="77777777" w:rsidTr="008D6932">
        <w:trPr>
          <w:trHeight w:val="357"/>
        </w:trPr>
        <w:tc>
          <w:tcPr>
            <w:tcW w:w="2836" w:type="dxa"/>
            <w:shd w:val="clear" w:color="auto" w:fill="auto"/>
          </w:tcPr>
          <w:p w14:paraId="7C601A23" w14:textId="77777777" w:rsidR="0075038D" w:rsidRPr="00E90F45" w:rsidRDefault="0075038D" w:rsidP="008D6932">
            <w:pPr>
              <w:keepNext/>
              <w:tabs>
                <w:tab w:val="left" w:pos="2160"/>
              </w:tabs>
              <w:spacing w:before="100" w:beforeAutospacing="1" w:after="100" w:afterAutospacing="1" w:line="360" w:lineRule="auto"/>
              <w:contextualSpacing/>
              <w:outlineLvl w:val="3"/>
              <w:rPr>
                <w:rFonts w:ascii="Arial" w:eastAsia="Times New Roman" w:hAnsi="Arial" w:cs="Arial"/>
                <w:b/>
                <w:lang w:eastAsia="en-GB"/>
              </w:rPr>
            </w:pPr>
            <w:r w:rsidRPr="00E90F45">
              <w:rPr>
                <w:rFonts w:ascii="Arial" w:eastAsia="Times New Roman" w:hAnsi="Arial" w:cs="Arial"/>
                <w:b/>
                <w:lang w:eastAsia="en-GB"/>
              </w:rPr>
              <w:t>Authors:</w:t>
            </w:r>
          </w:p>
        </w:tc>
        <w:tc>
          <w:tcPr>
            <w:tcW w:w="6770" w:type="dxa"/>
            <w:shd w:val="clear" w:color="auto" w:fill="auto"/>
          </w:tcPr>
          <w:p w14:paraId="0DD7ACCD" w14:textId="77777777" w:rsidR="0075038D" w:rsidRPr="00E90F45" w:rsidRDefault="0075038D" w:rsidP="008D6932">
            <w:pPr>
              <w:spacing w:before="100" w:beforeAutospacing="1" w:after="100" w:afterAutospacing="1"/>
              <w:rPr>
                <w:rFonts w:ascii="Times New Roman" w:hAnsi="Times New Roman" w:cs="Times New Roman"/>
                <w:color w:val="000000"/>
                <w:lang w:eastAsia="en-GB"/>
              </w:rPr>
            </w:pPr>
            <w:r w:rsidRPr="00E90F45">
              <w:rPr>
                <w:rFonts w:ascii="Helvetica" w:hAnsi="Helvetica" w:cs="Helvetica"/>
              </w:rPr>
              <w:t>Jo Sutherland, Principal Social Worker, CMBC Luke Turnbull, Designated Nurse Safeguarding Adults</w:t>
            </w:r>
            <w:r w:rsidRPr="00E90F45">
              <w:rPr>
                <w:rFonts w:ascii="Arial" w:eastAsia="Times New Roman" w:hAnsi="Arial" w:cs="Arial"/>
                <w:lang w:eastAsia="en-GB"/>
              </w:rPr>
              <w:t xml:space="preserve"> Designated Professional Safeguarding Adults, WY ICB, Calderdale Cares</w:t>
            </w:r>
          </w:p>
          <w:p w14:paraId="260CE028" w14:textId="77777777" w:rsidR="0075038D" w:rsidRPr="00E90F45" w:rsidRDefault="0075038D" w:rsidP="008D6932">
            <w:pPr>
              <w:keepNext/>
              <w:tabs>
                <w:tab w:val="left" w:pos="2160"/>
              </w:tabs>
              <w:spacing w:before="100" w:beforeAutospacing="1" w:after="100" w:afterAutospacing="1" w:line="360" w:lineRule="auto"/>
              <w:contextualSpacing/>
              <w:outlineLvl w:val="3"/>
              <w:rPr>
                <w:rFonts w:ascii="Arial" w:eastAsia="Times New Roman" w:hAnsi="Arial" w:cs="Arial"/>
                <w:bCs/>
                <w:lang w:eastAsia="en-GB"/>
              </w:rPr>
            </w:pPr>
          </w:p>
        </w:tc>
      </w:tr>
      <w:tr w:rsidR="0075038D" w:rsidRPr="00E90F45" w14:paraId="0243F6B4" w14:textId="77777777" w:rsidTr="008D6932">
        <w:trPr>
          <w:trHeight w:val="430"/>
        </w:trPr>
        <w:tc>
          <w:tcPr>
            <w:tcW w:w="2836" w:type="dxa"/>
            <w:shd w:val="clear" w:color="auto" w:fill="auto"/>
          </w:tcPr>
          <w:p w14:paraId="3DE70D0A" w14:textId="77777777" w:rsidR="0075038D" w:rsidRPr="00E90F45" w:rsidRDefault="0075038D" w:rsidP="008D6932">
            <w:pPr>
              <w:keepNext/>
              <w:tabs>
                <w:tab w:val="left" w:pos="2160"/>
              </w:tabs>
              <w:spacing w:before="100" w:beforeAutospacing="1" w:after="100" w:afterAutospacing="1" w:line="360" w:lineRule="auto"/>
              <w:contextualSpacing/>
              <w:outlineLvl w:val="3"/>
              <w:rPr>
                <w:rFonts w:ascii="Arial" w:eastAsia="Times New Roman" w:hAnsi="Arial" w:cs="Arial"/>
                <w:b/>
                <w:lang w:eastAsia="en-GB"/>
              </w:rPr>
            </w:pPr>
            <w:r w:rsidRPr="00E90F45">
              <w:rPr>
                <w:rFonts w:ascii="Arial" w:eastAsia="Times New Roman" w:hAnsi="Arial" w:cs="Arial"/>
                <w:b/>
                <w:lang w:eastAsia="en-GB"/>
              </w:rPr>
              <w:t>Committee:</w:t>
            </w:r>
          </w:p>
          <w:p w14:paraId="63EC0642" w14:textId="77777777" w:rsidR="0075038D" w:rsidRPr="00E90F45" w:rsidRDefault="0075038D" w:rsidP="008D6932">
            <w:pPr>
              <w:keepNext/>
              <w:tabs>
                <w:tab w:val="left" w:pos="2160"/>
              </w:tabs>
              <w:spacing w:before="100" w:beforeAutospacing="1" w:after="100" w:afterAutospacing="1" w:line="360" w:lineRule="auto"/>
              <w:contextualSpacing/>
              <w:outlineLvl w:val="3"/>
              <w:rPr>
                <w:rFonts w:ascii="Arial" w:eastAsia="Times New Roman" w:hAnsi="Arial" w:cs="Arial"/>
                <w:b/>
                <w:lang w:eastAsia="en-GB"/>
              </w:rPr>
            </w:pPr>
            <w:r w:rsidRPr="00E90F45">
              <w:rPr>
                <w:rFonts w:ascii="Arial" w:eastAsia="Times New Roman" w:hAnsi="Arial" w:cs="Arial"/>
                <w:b/>
                <w:lang w:eastAsia="en-GB"/>
              </w:rPr>
              <w:tab/>
            </w:r>
          </w:p>
        </w:tc>
        <w:tc>
          <w:tcPr>
            <w:tcW w:w="6770" w:type="dxa"/>
            <w:shd w:val="clear" w:color="auto" w:fill="auto"/>
          </w:tcPr>
          <w:p w14:paraId="70B8F2B5" w14:textId="77777777" w:rsidR="0075038D" w:rsidRPr="00E90F45" w:rsidRDefault="0075038D" w:rsidP="008D6932">
            <w:pPr>
              <w:keepNext/>
              <w:tabs>
                <w:tab w:val="left" w:pos="2160"/>
              </w:tabs>
              <w:spacing w:after="0" w:line="360" w:lineRule="auto"/>
              <w:outlineLvl w:val="3"/>
              <w:rPr>
                <w:rFonts w:ascii="Arial" w:eastAsia="Times New Roman" w:hAnsi="Arial" w:cs="Arial"/>
                <w:bCs/>
                <w:lang w:eastAsia="en-GB"/>
              </w:rPr>
            </w:pPr>
            <w:r w:rsidRPr="00E90F45">
              <w:rPr>
                <w:rFonts w:ascii="Arial" w:eastAsia="Times New Roman" w:hAnsi="Arial" w:cs="Arial"/>
                <w:bCs/>
                <w:lang w:eastAsia="en-GB"/>
              </w:rPr>
              <w:t>Calderdale Safeguarding Adults Board</w:t>
            </w:r>
          </w:p>
        </w:tc>
      </w:tr>
      <w:tr w:rsidR="0075038D" w:rsidRPr="00E90F45" w14:paraId="47283C0D" w14:textId="77777777" w:rsidTr="008D6932">
        <w:trPr>
          <w:trHeight w:val="302"/>
        </w:trPr>
        <w:tc>
          <w:tcPr>
            <w:tcW w:w="2836" w:type="dxa"/>
            <w:shd w:val="clear" w:color="auto" w:fill="auto"/>
          </w:tcPr>
          <w:p w14:paraId="045C0F11" w14:textId="77777777" w:rsidR="0075038D" w:rsidRPr="00E90F45" w:rsidRDefault="0075038D" w:rsidP="008D6932">
            <w:pPr>
              <w:keepNext/>
              <w:tabs>
                <w:tab w:val="left" w:pos="2160"/>
              </w:tabs>
              <w:spacing w:before="100" w:beforeAutospacing="1" w:after="100" w:afterAutospacing="1" w:line="360" w:lineRule="auto"/>
              <w:contextualSpacing/>
              <w:outlineLvl w:val="3"/>
              <w:rPr>
                <w:rFonts w:ascii="Arial" w:eastAsia="Times New Roman" w:hAnsi="Arial" w:cs="Arial"/>
                <w:b/>
                <w:lang w:eastAsia="en-GB"/>
              </w:rPr>
            </w:pPr>
            <w:r w:rsidRPr="00E90F45">
              <w:rPr>
                <w:rFonts w:ascii="Arial" w:eastAsia="Times New Roman" w:hAnsi="Arial" w:cs="Arial"/>
                <w:b/>
                <w:lang w:eastAsia="en-GB"/>
              </w:rPr>
              <w:t>Version:</w:t>
            </w:r>
          </w:p>
        </w:tc>
        <w:tc>
          <w:tcPr>
            <w:tcW w:w="6770" w:type="dxa"/>
            <w:shd w:val="clear" w:color="auto" w:fill="auto"/>
          </w:tcPr>
          <w:p w14:paraId="5ABAB114" w14:textId="440D756D" w:rsidR="0075038D" w:rsidRPr="00E90F45" w:rsidRDefault="0075038D" w:rsidP="008D6932">
            <w:pPr>
              <w:spacing w:before="100" w:beforeAutospacing="1" w:after="100" w:afterAutospacing="1" w:line="360" w:lineRule="auto"/>
              <w:contextualSpacing/>
              <w:rPr>
                <w:rFonts w:ascii="Arial" w:eastAsia="Times New Roman" w:hAnsi="Arial" w:cs="Arial"/>
                <w:lang w:eastAsia="en-GB"/>
              </w:rPr>
            </w:pPr>
            <w:r w:rsidRPr="00E90F45">
              <w:rPr>
                <w:rFonts w:ascii="Arial" w:eastAsia="Times New Roman" w:hAnsi="Arial" w:cs="Arial"/>
                <w:lang w:eastAsia="en-GB"/>
              </w:rPr>
              <w:t>Version 1.</w:t>
            </w:r>
            <w:r w:rsidR="00325B71">
              <w:rPr>
                <w:rFonts w:ascii="Arial" w:eastAsia="Times New Roman" w:hAnsi="Arial" w:cs="Arial"/>
                <w:lang w:eastAsia="en-GB"/>
              </w:rPr>
              <w:t>1</w:t>
            </w:r>
          </w:p>
        </w:tc>
      </w:tr>
      <w:tr w:rsidR="0075038D" w:rsidRPr="00E90F45" w14:paraId="108FEBF5" w14:textId="77777777" w:rsidTr="008D6932">
        <w:trPr>
          <w:trHeight w:val="255"/>
        </w:trPr>
        <w:tc>
          <w:tcPr>
            <w:tcW w:w="2836" w:type="dxa"/>
            <w:shd w:val="clear" w:color="auto" w:fill="auto"/>
          </w:tcPr>
          <w:p w14:paraId="6D948993" w14:textId="77777777" w:rsidR="0075038D" w:rsidRPr="00E90F45" w:rsidRDefault="0075038D" w:rsidP="008D6932">
            <w:pPr>
              <w:keepNext/>
              <w:tabs>
                <w:tab w:val="left" w:pos="2160"/>
              </w:tabs>
              <w:spacing w:before="100" w:beforeAutospacing="1" w:after="100" w:afterAutospacing="1" w:line="360" w:lineRule="auto"/>
              <w:contextualSpacing/>
              <w:outlineLvl w:val="3"/>
              <w:rPr>
                <w:rFonts w:ascii="Arial" w:eastAsia="Times New Roman" w:hAnsi="Arial" w:cs="Arial"/>
                <w:b/>
                <w:lang w:eastAsia="en-GB"/>
              </w:rPr>
            </w:pPr>
            <w:r w:rsidRPr="00E90F45">
              <w:rPr>
                <w:rFonts w:ascii="Arial" w:eastAsia="Times New Roman" w:hAnsi="Arial" w:cs="Arial"/>
                <w:b/>
                <w:lang w:eastAsia="en-GB"/>
              </w:rPr>
              <w:t>Review Date:</w:t>
            </w:r>
          </w:p>
        </w:tc>
        <w:tc>
          <w:tcPr>
            <w:tcW w:w="6770" w:type="dxa"/>
            <w:shd w:val="clear" w:color="auto" w:fill="auto"/>
          </w:tcPr>
          <w:p w14:paraId="24792A64" w14:textId="77777777" w:rsidR="0075038D" w:rsidRDefault="0075038D" w:rsidP="008D6932">
            <w:pPr>
              <w:spacing w:before="100" w:beforeAutospacing="1" w:after="100" w:afterAutospacing="1" w:line="360" w:lineRule="auto"/>
              <w:contextualSpacing/>
              <w:rPr>
                <w:rFonts w:ascii="Arial" w:eastAsia="Times New Roman" w:hAnsi="Arial" w:cs="Arial"/>
                <w:lang w:eastAsia="en-GB"/>
              </w:rPr>
            </w:pPr>
            <w:r w:rsidRPr="00E90F45">
              <w:rPr>
                <w:rFonts w:ascii="Arial" w:eastAsia="Times New Roman" w:hAnsi="Arial" w:cs="Arial"/>
                <w:lang w:eastAsia="en-GB"/>
              </w:rPr>
              <w:t>October 2023 (earlier if changes required)</w:t>
            </w:r>
          </w:p>
          <w:p w14:paraId="766EB7D9" w14:textId="5909AE9C" w:rsidR="00325B71" w:rsidRPr="00E90F45" w:rsidRDefault="00325B71" w:rsidP="008D6932">
            <w:pPr>
              <w:spacing w:before="100" w:beforeAutospacing="1" w:after="100" w:afterAutospacing="1" w:line="360" w:lineRule="auto"/>
              <w:contextualSpacing/>
              <w:rPr>
                <w:rFonts w:ascii="Arial" w:eastAsia="Times New Roman" w:hAnsi="Arial" w:cs="Arial"/>
                <w:lang w:eastAsia="en-GB"/>
              </w:rPr>
            </w:pPr>
            <w:r>
              <w:rPr>
                <w:rFonts w:ascii="Arial" w:eastAsia="Times New Roman" w:hAnsi="Arial" w:cs="Arial"/>
                <w:lang w:eastAsia="en-GB"/>
              </w:rPr>
              <w:t>January 2024</w:t>
            </w:r>
          </w:p>
        </w:tc>
      </w:tr>
    </w:tbl>
    <w:p w14:paraId="60ACF240" w14:textId="77777777" w:rsidR="0075038D" w:rsidRDefault="0075038D">
      <w:pPr>
        <w:rPr>
          <w:rFonts w:ascii="Helvetica" w:hAnsi="Helvetica" w:cs="Helvetica"/>
        </w:rPr>
      </w:pPr>
      <w:r>
        <w:rPr>
          <w:rFonts w:ascii="Helvetica" w:hAnsi="Helvetica" w:cs="Helvetica"/>
        </w:rPr>
        <w:br w:type="page"/>
      </w:r>
    </w:p>
    <w:tbl>
      <w:tblPr>
        <w:tblStyle w:val="TableGrid"/>
        <w:tblpPr w:leftFromText="180" w:rightFromText="180" w:vertAnchor="text" w:horzAnchor="margin" w:tblpY="212"/>
        <w:tblW w:w="9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90"/>
        <w:gridCol w:w="2490"/>
        <w:gridCol w:w="2490"/>
        <w:gridCol w:w="2490"/>
      </w:tblGrid>
      <w:tr w:rsidR="0075038D" w:rsidRPr="00E90F45" w14:paraId="52961040" w14:textId="77777777" w:rsidTr="008D6932">
        <w:trPr>
          <w:trHeight w:val="406"/>
        </w:trPr>
        <w:tc>
          <w:tcPr>
            <w:tcW w:w="9960" w:type="dxa"/>
            <w:gridSpan w:val="4"/>
            <w:shd w:val="clear" w:color="auto" w:fill="008080"/>
            <w:vAlign w:val="center"/>
          </w:tcPr>
          <w:p w14:paraId="519B6C49" w14:textId="77777777" w:rsidR="0075038D" w:rsidRPr="00E90F45" w:rsidRDefault="0075038D" w:rsidP="008D6932">
            <w:pPr>
              <w:jc w:val="center"/>
              <w:rPr>
                <w:rFonts w:ascii="Helvetica" w:hAnsi="Helvetica" w:cs="Helvetica"/>
                <w:b/>
                <w:bCs/>
                <w:color w:val="FFFFFF" w:themeColor="background1"/>
              </w:rPr>
            </w:pPr>
            <w:r w:rsidRPr="00E90F45">
              <w:rPr>
                <w:rFonts w:ascii="Helvetica" w:hAnsi="Helvetica" w:cs="Helvetica"/>
                <w:b/>
                <w:bCs/>
                <w:color w:val="FFFFFF" w:themeColor="background1"/>
              </w:rPr>
              <w:lastRenderedPageBreak/>
              <w:t>Amendments</w:t>
            </w:r>
          </w:p>
        </w:tc>
      </w:tr>
      <w:tr w:rsidR="0075038D" w:rsidRPr="00E90F45" w14:paraId="022DE7D5" w14:textId="77777777" w:rsidTr="008D6932">
        <w:trPr>
          <w:trHeight w:val="395"/>
        </w:trPr>
        <w:tc>
          <w:tcPr>
            <w:tcW w:w="2490" w:type="dxa"/>
            <w:shd w:val="clear" w:color="auto" w:fill="008080"/>
            <w:vAlign w:val="center"/>
          </w:tcPr>
          <w:p w14:paraId="61FA3805" w14:textId="77777777" w:rsidR="0075038D" w:rsidRPr="00E90F45" w:rsidRDefault="0075038D" w:rsidP="008D6932">
            <w:pPr>
              <w:jc w:val="center"/>
              <w:rPr>
                <w:rFonts w:ascii="Helvetica" w:hAnsi="Helvetica" w:cs="Helvetica"/>
                <w:b/>
                <w:bCs/>
                <w:color w:val="FFFFFF" w:themeColor="background1"/>
              </w:rPr>
            </w:pPr>
            <w:r w:rsidRPr="00E90F45">
              <w:rPr>
                <w:rFonts w:ascii="Helvetica" w:hAnsi="Helvetica" w:cs="Helvetica"/>
                <w:b/>
                <w:bCs/>
                <w:color w:val="FFFFFF" w:themeColor="background1"/>
              </w:rPr>
              <w:t>Issue Number:</w:t>
            </w:r>
          </w:p>
        </w:tc>
        <w:tc>
          <w:tcPr>
            <w:tcW w:w="2490" w:type="dxa"/>
            <w:shd w:val="clear" w:color="auto" w:fill="008080"/>
            <w:vAlign w:val="center"/>
          </w:tcPr>
          <w:p w14:paraId="574410AD" w14:textId="77777777" w:rsidR="0075038D" w:rsidRPr="00E90F45" w:rsidRDefault="0075038D" w:rsidP="008D6932">
            <w:pPr>
              <w:jc w:val="center"/>
              <w:rPr>
                <w:rFonts w:ascii="Helvetica" w:hAnsi="Helvetica" w:cs="Helvetica"/>
                <w:b/>
                <w:bCs/>
                <w:color w:val="FFFFFF" w:themeColor="background1"/>
              </w:rPr>
            </w:pPr>
            <w:r w:rsidRPr="00E90F45">
              <w:rPr>
                <w:rFonts w:ascii="Helvetica" w:hAnsi="Helvetica" w:cs="Helvetica"/>
                <w:b/>
                <w:bCs/>
                <w:color w:val="FFFFFF" w:themeColor="background1"/>
              </w:rPr>
              <w:t>Date:</w:t>
            </w:r>
          </w:p>
        </w:tc>
        <w:tc>
          <w:tcPr>
            <w:tcW w:w="2490" w:type="dxa"/>
            <w:shd w:val="clear" w:color="auto" w:fill="008080"/>
            <w:vAlign w:val="center"/>
          </w:tcPr>
          <w:p w14:paraId="69409629" w14:textId="77777777" w:rsidR="0075038D" w:rsidRPr="00E90F45" w:rsidRDefault="0075038D" w:rsidP="008D6932">
            <w:pPr>
              <w:jc w:val="center"/>
              <w:rPr>
                <w:rFonts w:ascii="Helvetica" w:hAnsi="Helvetica" w:cs="Helvetica"/>
                <w:b/>
                <w:bCs/>
                <w:color w:val="FFFFFF" w:themeColor="background1"/>
              </w:rPr>
            </w:pPr>
            <w:r w:rsidRPr="00E90F45">
              <w:rPr>
                <w:rFonts w:ascii="Helvetica" w:hAnsi="Helvetica" w:cs="Helvetica"/>
                <w:b/>
                <w:bCs/>
                <w:color w:val="FFFFFF" w:themeColor="background1"/>
              </w:rPr>
              <w:t>Reason for change</w:t>
            </w:r>
          </w:p>
        </w:tc>
        <w:tc>
          <w:tcPr>
            <w:tcW w:w="2490" w:type="dxa"/>
            <w:shd w:val="clear" w:color="auto" w:fill="008080"/>
            <w:vAlign w:val="center"/>
          </w:tcPr>
          <w:p w14:paraId="6DCD9083" w14:textId="77777777" w:rsidR="0075038D" w:rsidRPr="00E90F45" w:rsidRDefault="0075038D" w:rsidP="008D6932">
            <w:pPr>
              <w:jc w:val="center"/>
              <w:rPr>
                <w:rFonts w:ascii="Helvetica" w:hAnsi="Helvetica" w:cs="Helvetica"/>
                <w:b/>
                <w:bCs/>
                <w:color w:val="FFFFFF" w:themeColor="background1"/>
              </w:rPr>
            </w:pPr>
            <w:r w:rsidRPr="00E90F45">
              <w:rPr>
                <w:rFonts w:ascii="Helvetica" w:hAnsi="Helvetica" w:cs="Helvetica"/>
                <w:b/>
                <w:bCs/>
                <w:color w:val="FFFFFF" w:themeColor="background1"/>
              </w:rPr>
              <w:t>Authorised:</w:t>
            </w:r>
          </w:p>
        </w:tc>
      </w:tr>
      <w:tr w:rsidR="0075038D" w:rsidRPr="00E90F45" w14:paraId="3101CA8E" w14:textId="77777777" w:rsidTr="008D6932">
        <w:trPr>
          <w:trHeight w:val="319"/>
        </w:trPr>
        <w:tc>
          <w:tcPr>
            <w:tcW w:w="2490" w:type="dxa"/>
          </w:tcPr>
          <w:p w14:paraId="36237BC5" w14:textId="61485D35" w:rsidR="0075038D" w:rsidRPr="00E90F45" w:rsidRDefault="00325B71" w:rsidP="008D6932">
            <w:pPr>
              <w:rPr>
                <w:rFonts w:ascii="Helvetica" w:hAnsi="Helvetica" w:cs="Helvetica"/>
              </w:rPr>
            </w:pPr>
            <w:r>
              <w:rPr>
                <w:rFonts w:ascii="Helvetica" w:hAnsi="Helvetica" w:cs="Helvetica"/>
              </w:rPr>
              <w:t>1.1</w:t>
            </w:r>
          </w:p>
        </w:tc>
        <w:tc>
          <w:tcPr>
            <w:tcW w:w="2490" w:type="dxa"/>
          </w:tcPr>
          <w:p w14:paraId="0A50008D" w14:textId="3BCA6521" w:rsidR="0075038D" w:rsidRPr="00E90F45" w:rsidRDefault="00325B71" w:rsidP="008D6932">
            <w:pPr>
              <w:rPr>
                <w:rFonts w:ascii="Helvetica" w:hAnsi="Helvetica" w:cs="Helvetica"/>
              </w:rPr>
            </w:pPr>
            <w:r>
              <w:rPr>
                <w:rFonts w:ascii="Helvetica" w:hAnsi="Helvetica" w:cs="Helvetica"/>
              </w:rPr>
              <w:t>January 2024</w:t>
            </w:r>
          </w:p>
        </w:tc>
        <w:tc>
          <w:tcPr>
            <w:tcW w:w="2490" w:type="dxa"/>
          </w:tcPr>
          <w:p w14:paraId="3A31CC62" w14:textId="6824FC6E" w:rsidR="0075038D" w:rsidRPr="00E90F45" w:rsidRDefault="00325B71" w:rsidP="008D6932">
            <w:pPr>
              <w:rPr>
                <w:rFonts w:ascii="Helvetica" w:hAnsi="Helvetica" w:cs="Helvetica"/>
              </w:rPr>
            </w:pPr>
            <w:r>
              <w:rPr>
                <w:rFonts w:ascii="Helvetica" w:hAnsi="Helvetica" w:cs="Helvetica"/>
              </w:rPr>
              <w:t>Additional Appendix (See appendix 9)</w:t>
            </w:r>
          </w:p>
        </w:tc>
        <w:tc>
          <w:tcPr>
            <w:tcW w:w="2490" w:type="dxa"/>
          </w:tcPr>
          <w:p w14:paraId="237A970E" w14:textId="52EE7590" w:rsidR="0075038D" w:rsidRPr="00E90F45" w:rsidRDefault="00325B71" w:rsidP="008D6932">
            <w:pPr>
              <w:rPr>
                <w:rFonts w:ascii="Helvetica" w:hAnsi="Helvetica" w:cs="Helvetica"/>
              </w:rPr>
            </w:pPr>
            <w:r>
              <w:rPr>
                <w:rFonts w:ascii="Helvetica" w:hAnsi="Helvetica" w:cs="Helvetica"/>
              </w:rPr>
              <w:t>Luke Turnbull, Jo Sutherland</w:t>
            </w:r>
          </w:p>
        </w:tc>
      </w:tr>
      <w:tr w:rsidR="0075038D" w:rsidRPr="00E90F45" w14:paraId="795DE2C6" w14:textId="77777777" w:rsidTr="008D6932">
        <w:trPr>
          <w:trHeight w:val="310"/>
        </w:trPr>
        <w:tc>
          <w:tcPr>
            <w:tcW w:w="2490" w:type="dxa"/>
          </w:tcPr>
          <w:p w14:paraId="2CC47497" w14:textId="77777777" w:rsidR="0075038D" w:rsidRPr="00E90F45" w:rsidRDefault="0075038D" w:rsidP="008D6932">
            <w:pPr>
              <w:rPr>
                <w:rFonts w:ascii="Helvetica" w:hAnsi="Helvetica" w:cs="Helvetica"/>
              </w:rPr>
            </w:pPr>
          </w:p>
        </w:tc>
        <w:tc>
          <w:tcPr>
            <w:tcW w:w="2490" w:type="dxa"/>
          </w:tcPr>
          <w:p w14:paraId="07B997E1" w14:textId="77777777" w:rsidR="0075038D" w:rsidRPr="00E90F45" w:rsidRDefault="0075038D" w:rsidP="008D6932">
            <w:pPr>
              <w:rPr>
                <w:rFonts w:ascii="Helvetica" w:hAnsi="Helvetica" w:cs="Helvetica"/>
              </w:rPr>
            </w:pPr>
          </w:p>
        </w:tc>
        <w:tc>
          <w:tcPr>
            <w:tcW w:w="2490" w:type="dxa"/>
          </w:tcPr>
          <w:p w14:paraId="7604501A" w14:textId="77777777" w:rsidR="0075038D" w:rsidRPr="00E90F45" w:rsidRDefault="0075038D" w:rsidP="008D6932">
            <w:pPr>
              <w:rPr>
                <w:rFonts w:ascii="Helvetica" w:hAnsi="Helvetica" w:cs="Helvetica"/>
              </w:rPr>
            </w:pPr>
          </w:p>
        </w:tc>
        <w:tc>
          <w:tcPr>
            <w:tcW w:w="2490" w:type="dxa"/>
          </w:tcPr>
          <w:p w14:paraId="1E81EC95" w14:textId="77777777" w:rsidR="0075038D" w:rsidRPr="00E90F45" w:rsidRDefault="0075038D" w:rsidP="008D6932">
            <w:pPr>
              <w:rPr>
                <w:rFonts w:ascii="Helvetica" w:hAnsi="Helvetica" w:cs="Helvetica"/>
              </w:rPr>
            </w:pPr>
          </w:p>
        </w:tc>
      </w:tr>
      <w:tr w:rsidR="0075038D" w:rsidRPr="00E90F45" w14:paraId="0FEF38FD" w14:textId="77777777" w:rsidTr="008D6932">
        <w:trPr>
          <w:trHeight w:val="310"/>
        </w:trPr>
        <w:tc>
          <w:tcPr>
            <w:tcW w:w="2490" w:type="dxa"/>
          </w:tcPr>
          <w:p w14:paraId="21D1AD2F" w14:textId="77777777" w:rsidR="0075038D" w:rsidRPr="00E90F45" w:rsidRDefault="0075038D" w:rsidP="008D6932">
            <w:pPr>
              <w:rPr>
                <w:rFonts w:ascii="Helvetica" w:hAnsi="Helvetica" w:cs="Helvetica"/>
              </w:rPr>
            </w:pPr>
          </w:p>
        </w:tc>
        <w:tc>
          <w:tcPr>
            <w:tcW w:w="2490" w:type="dxa"/>
          </w:tcPr>
          <w:p w14:paraId="03EDA33E" w14:textId="77777777" w:rsidR="0075038D" w:rsidRPr="00E90F45" w:rsidRDefault="0075038D" w:rsidP="008D6932">
            <w:pPr>
              <w:rPr>
                <w:rFonts w:ascii="Helvetica" w:hAnsi="Helvetica" w:cs="Helvetica"/>
              </w:rPr>
            </w:pPr>
          </w:p>
        </w:tc>
        <w:tc>
          <w:tcPr>
            <w:tcW w:w="2490" w:type="dxa"/>
          </w:tcPr>
          <w:p w14:paraId="4E9C39B8" w14:textId="77777777" w:rsidR="0075038D" w:rsidRPr="00E90F45" w:rsidRDefault="0075038D" w:rsidP="008D6932">
            <w:pPr>
              <w:rPr>
                <w:rFonts w:ascii="Helvetica" w:hAnsi="Helvetica" w:cs="Helvetica"/>
              </w:rPr>
            </w:pPr>
          </w:p>
        </w:tc>
        <w:tc>
          <w:tcPr>
            <w:tcW w:w="2490" w:type="dxa"/>
          </w:tcPr>
          <w:p w14:paraId="5A5F2A86" w14:textId="77777777" w:rsidR="0075038D" w:rsidRPr="00E90F45" w:rsidRDefault="0075038D" w:rsidP="008D6932">
            <w:pPr>
              <w:rPr>
                <w:rFonts w:ascii="Helvetica" w:hAnsi="Helvetica" w:cs="Helvetica"/>
              </w:rPr>
            </w:pPr>
          </w:p>
        </w:tc>
      </w:tr>
      <w:tr w:rsidR="0075038D" w:rsidRPr="00E90F45" w14:paraId="79F7148F" w14:textId="77777777" w:rsidTr="008D6932">
        <w:trPr>
          <w:trHeight w:val="310"/>
        </w:trPr>
        <w:tc>
          <w:tcPr>
            <w:tcW w:w="2490" w:type="dxa"/>
          </w:tcPr>
          <w:p w14:paraId="676A015F" w14:textId="77777777" w:rsidR="0075038D" w:rsidRPr="00E90F45" w:rsidRDefault="0075038D" w:rsidP="008D6932">
            <w:pPr>
              <w:rPr>
                <w:rFonts w:ascii="Helvetica" w:hAnsi="Helvetica" w:cs="Helvetica"/>
              </w:rPr>
            </w:pPr>
          </w:p>
        </w:tc>
        <w:tc>
          <w:tcPr>
            <w:tcW w:w="2490" w:type="dxa"/>
          </w:tcPr>
          <w:p w14:paraId="68C393F1" w14:textId="77777777" w:rsidR="0075038D" w:rsidRPr="00E90F45" w:rsidRDefault="0075038D" w:rsidP="008D6932">
            <w:pPr>
              <w:rPr>
                <w:rFonts w:ascii="Helvetica" w:hAnsi="Helvetica" w:cs="Helvetica"/>
              </w:rPr>
            </w:pPr>
          </w:p>
        </w:tc>
        <w:tc>
          <w:tcPr>
            <w:tcW w:w="2490" w:type="dxa"/>
          </w:tcPr>
          <w:p w14:paraId="320F7D1D" w14:textId="77777777" w:rsidR="0075038D" w:rsidRPr="00E90F45" w:rsidRDefault="0075038D" w:rsidP="008D6932">
            <w:pPr>
              <w:rPr>
                <w:rFonts w:ascii="Helvetica" w:hAnsi="Helvetica" w:cs="Helvetica"/>
              </w:rPr>
            </w:pPr>
          </w:p>
        </w:tc>
        <w:tc>
          <w:tcPr>
            <w:tcW w:w="2490" w:type="dxa"/>
          </w:tcPr>
          <w:p w14:paraId="173F7EFB" w14:textId="77777777" w:rsidR="0075038D" w:rsidRPr="00E90F45" w:rsidRDefault="0075038D" w:rsidP="008D6932">
            <w:pPr>
              <w:rPr>
                <w:rFonts w:ascii="Helvetica" w:hAnsi="Helvetica" w:cs="Helvetica"/>
              </w:rPr>
            </w:pPr>
          </w:p>
        </w:tc>
      </w:tr>
    </w:tbl>
    <w:p w14:paraId="6E39106D" w14:textId="77777777" w:rsidR="0075038D" w:rsidRDefault="001D1A09" w:rsidP="0075038D">
      <w:pPr>
        <w:spacing w:before="840"/>
      </w:pPr>
      <w:r>
        <w:t>The authors of this document would like to credit Leeds Safeguarding Adults Board for the agreement to use their Large Scale Enquiry Policy and Protocol as the basis for this Large Scale Enquiry Policy and Protocol</w:t>
      </w:r>
    </w:p>
    <w:p w14:paraId="4BE315A4" w14:textId="6D18BD82" w:rsidR="00F5046A" w:rsidRPr="0075038D" w:rsidRDefault="00F5046A">
      <w:bookmarkStart w:id="5" w:name="_Hlk130822631"/>
      <w:bookmarkStart w:id="6" w:name="_Hlk128741189"/>
      <w:r>
        <w:rPr>
          <w:b/>
          <w:bCs/>
        </w:rPr>
        <w:br w:type="page"/>
      </w:r>
    </w:p>
    <w:bookmarkEnd w:id="6" w:displacedByCustomXml="next"/>
    <w:bookmarkEnd w:id="5" w:displacedByCustomXml="next"/>
    <w:sdt>
      <w:sdtPr>
        <w:rPr>
          <w:rFonts w:asciiTheme="minorHAnsi" w:eastAsiaTheme="minorHAnsi" w:hAnsiTheme="minorHAnsi" w:cstheme="minorBidi"/>
          <w:color w:val="auto"/>
          <w:sz w:val="22"/>
          <w:szCs w:val="22"/>
          <w:lang w:val="en-GB"/>
        </w:rPr>
        <w:id w:val="-810946363"/>
        <w:docPartObj>
          <w:docPartGallery w:val="Table of Contents"/>
          <w:docPartUnique/>
        </w:docPartObj>
      </w:sdtPr>
      <w:sdtEndPr>
        <w:rPr>
          <w:b/>
          <w:bCs/>
          <w:noProof/>
        </w:rPr>
      </w:sdtEndPr>
      <w:sdtContent>
        <w:p w14:paraId="5D824BB7" w14:textId="77777777" w:rsidR="00325B71" w:rsidRDefault="00E60534" w:rsidP="00E60534">
          <w:pPr>
            <w:pStyle w:val="TOCHeading"/>
            <w:ind w:right="-426"/>
            <w:rPr>
              <w:noProof/>
            </w:rPr>
          </w:pPr>
          <w:r w:rsidRPr="00E60534">
            <w:rPr>
              <w:rFonts w:asciiTheme="minorHAnsi" w:hAnsiTheme="minorHAnsi" w:cstheme="minorHAnsi"/>
              <w:b/>
              <w:bCs/>
              <w:color w:val="auto"/>
              <w:sz w:val="22"/>
              <w:szCs w:val="22"/>
            </w:rPr>
            <w:t>Contents</w:t>
          </w:r>
          <w:r>
            <w:fldChar w:fldCharType="begin"/>
          </w:r>
          <w:r>
            <w:instrText xml:space="preserve"> TOC \o "1-3" \h \z \u </w:instrText>
          </w:r>
          <w:r>
            <w:fldChar w:fldCharType="separate"/>
          </w:r>
        </w:p>
        <w:p w14:paraId="07EF4841" w14:textId="71EB816D" w:rsidR="00325B71" w:rsidRDefault="00000000">
          <w:pPr>
            <w:pStyle w:val="TOC2"/>
            <w:tabs>
              <w:tab w:val="left" w:pos="660"/>
              <w:tab w:val="right" w:leader="dot" w:pos="9016"/>
            </w:tabs>
            <w:rPr>
              <w:rFonts w:eastAsiaTheme="minorEastAsia"/>
              <w:noProof/>
              <w:lang w:eastAsia="en-GB"/>
            </w:rPr>
          </w:pPr>
          <w:hyperlink w:anchor="_Toc157066997" w:history="1">
            <w:r w:rsidR="00325B71" w:rsidRPr="008C7E84">
              <w:rPr>
                <w:rStyle w:val="Hyperlink"/>
                <w:noProof/>
              </w:rPr>
              <w:t>1.</w:t>
            </w:r>
            <w:r w:rsidR="00325B71">
              <w:rPr>
                <w:rFonts w:eastAsiaTheme="minorEastAsia"/>
                <w:noProof/>
                <w:lang w:eastAsia="en-GB"/>
              </w:rPr>
              <w:tab/>
            </w:r>
            <w:r w:rsidR="00325B71" w:rsidRPr="008C7E84">
              <w:rPr>
                <w:rStyle w:val="Hyperlink"/>
                <w:noProof/>
              </w:rPr>
              <w:t>Introduction:</w:t>
            </w:r>
            <w:r w:rsidR="00325B71">
              <w:rPr>
                <w:noProof/>
                <w:webHidden/>
              </w:rPr>
              <w:tab/>
            </w:r>
            <w:r w:rsidR="00325B71">
              <w:rPr>
                <w:noProof/>
                <w:webHidden/>
              </w:rPr>
              <w:fldChar w:fldCharType="begin"/>
            </w:r>
            <w:r w:rsidR="00325B71">
              <w:rPr>
                <w:noProof/>
                <w:webHidden/>
              </w:rPr>
              <w:instrText xml:space="preserve"> PAGEREF _Toc157066997 \h </w:instrText>
            </w:r>
            <w:r w:rsidR="00325B71">
              <w:rPr>
                <w:noProof/>
                <w:webHidden/>
              </w:rPr>
            </w:r>
            <w:r w:rsidR="00325B71">
              <w:rPr>
                <w:noProof/>
                <w:webHidden/>
              </w:rPr>
              <w:fldChar w:fldCharType="separate"/>
            </w:r>
            <w:r w:rsidR="00F56281">
              <w:rPr>
                <w:noProof/>
                <w:webHidden/>
              </w:rPr>
              <w:t>6</w:t>
            </w:r>
            <w:r w:rsidR="00325B71">
              <w:rPr>
                <w:noProof/>
                <w:webHidden/>
              </w:rPr>
              <w:fldChar w:fldCharType="end"/>
            </w:r>
          </w:hyperlink>
        </w:p>
        <w:p w14:paraId="01B395A5" w14:textId="420921F2" w:rsidR="00325B71" w:rsidRDefault="00000000">
          <w:pPr>
            <w:pStyle w:val="TOC2"/>
            <w:tabs>
              <w:tab w:val="left" w:pos="660"/>
              <w:tab w:val="right" w:leader="dot" w:pos="9016"/>
            </w:tabs>
            <w:rPr>
              <w:rFonts w:eastAsiaTheme="minorEastAsia"/>
              <w:noProof/>
              <w:lang w:eastAsia="en-GB"/>
            </w:rPr>
          </w:pPr>
          <w:hyperlink w:anchor="_Toc157066998" w:history="1">
            <w:r w:rsidR="00325B71" w:rsidRPr="008C7E84">
              <w:rPr>
                <w:rStyle w:val="Hyperlink"/>
                <w:noProof/>
              </w:rPr>
              <w:t>2.</w:t>
            </w:r>
            <w:r w:rsidR="00325B71">
              <w:rPr>
                <w:rFonts w:eastAsiaTheme="minorEastAsia"/>
                <w:noProof/>
                <w:lang w:eastAsia="en-GB"/>
              </w:rPr>
              <w:tab/>
            </w:r>
            <w:r w:rsidR="00325B71" w:rsidRPr="008C7E84">
              <w:rPr>
                <w:rStyle w:val="Hyperlink"/>
                <w:noProof/>
              </w:rPr>
              <w:t>Organisational Abuse:</w:t>
            </w:r>
            <w:r w:rsidR="00325B71">
              <w:rPr>
                <w:noProof/>
                <w:webHidden/>
              </w:rPr>
              <w:tab/>
            </w:r>
            <w:r w:rsidR="00325B71">
              <w:rPr>
                <w:noProof/>
                <w:webHidden/>
              </w:rPr>
              <w:fldChar w:fldCharType="begin"/>
            </w:r>
            <w:r w:rsidR="00325B71">
              <w:rPr>
                <w:noProof/>
                <w:webHidden/>
              </w:rPr>
              <w:instrText xml:space="preserve"> PAGEREF _Toc157066998 \h </w:instrText>
            </w:r>
            <w:r w:rsidR="00325B71">
              <w:rPr>
                <w:noProof/>
                <w:webHidden/>
              </w:rPr>
            </w:r>
            <w:r w:rsidR="00325B71">
              <w:rPr>
                <w:noProof/>
                <w:webHidden/>
              </w:rPr>
              <w:fldChar w:fldCharType="separate"/>
            </w:r>
            <w:r w:rsidR="00F56281">
              <w:rPr>
                <w:noProof/>
                <w:webHidden/>
              </w:rPr>
              <w:t>6</w:t>
            </w:r>
            <w:r w:rsidR="00325B71">
              <w:rPr>
                <w:noProof/>
                <w:webHidden/>
              </w:rPr>
              <w:fldChar w:fldCharType="end"/>
            </w:r>
          </w:hyperlink>
        </w:p>
        <w:p w14:paraId="61809EF9" w14:textId="7E0A966F" w:rsidR="00325B71" w:rsidRDefault="00000000">
          <w:pPr>
            <w:pStyle w:val="TOC3"/>
            <w:tabs>
              <w:tab w:val="left" w:pos="1100"/>
              <w:tab w:val="right" w:leader="dot" w:pos="9016"/>
            </w:tabs>
            <w:rPr>
              <w:rFonts w:eastAsiaTheme="minorEastAsia"/>
              <w:noProof/>
              <w:lang w:eastAsia="en-GB"/>
            </w:rPr>
          </w:pPr>
          <w:hyperlink w:anchor="_Toc157066999" w:history="1">
            <w:r w:rsidR="00325B71" w:rsidRPr="008C7E84">
              <w:rPr>
                <w:rStyle w:val="Hyperlink"/>
                <w:noProof/>
              </w:rPr>
              <w:t>2.1</w:t>
            </w:r>
            <w:r w:rsidR="00325B71">
              <w:rPr>
                <w:rFonts w:eastAsiaTheme="minorEastAsia"/>
                <w:noProof/>
                <w:lang w:eastAsia="en-GB"/>
              </w:rPr>
              <w:tab/>
            </w:r>
            <w:r w:rsidR="00325B71" w:rsidRPr="008C7E84">
              <w:rPr>
                <w:rStyle w:val="Hyperlink"/>
                <w:noProof/>
              </w:rPr>
              <w:t>Identifying Organisational Abuse:</w:t>
            </w:r>
            <w:r w:rsidR="00325B71">
              <w:rPr>
                <w:noProof/>
                <w:webHidden/>
              </w:rPr>
              <w:tab/>
            </w:r>
            <w:r w:rsidR="00325B71">
              <w:rPr>
                <w:noProof/>
                <w:webHidden/>
              </w:rPr>
              <w:fldChar w:fldCharType="begin"/>
            </w:r>
            <w:r w:rsidR="00325B71">
              <w:rPr>
                <w:noProof/>
                <w:webHidden/>
              </w:rPr>
              <w:instrText xml:space="preserve"> PAGEREF _Toc157066999 \h </w:instrText>
            </w:r>
            <w:r w:rsidR="00325B71">
              <w:rPr>
                <w:noProof/>
                <w:webHidden/>
              </w:rPr>
            </w:r>
            <w:r w:rsidR="00325B71">
              <w:rPr>
                <w:noProof/>
                <w:webHidden/>
              </w:rPr>
              <w:fldChar w:fldCharType="separate"/>
            </w:r>
            <w:r w:rsidR="00F56281">
              <w:rPr>
                <w:noProof/>
                <w:webHidden/>
              </w:rPr>
              <w:t>6</w:t>
            </w:r>
            <w:r w:rsidR="00325B71">
              <w:rPr>
                <w:noProof/>
                <w:webHidden/>
              </w:rPr>
              <w:fldChar w:fldCharType="end"/>
            </w:r>
          </w:hyperlink>
        </w:p>
        <w:p w14:paraId="1E5FB3F7" w14:textId="0BA2B0EF" w:rsidR="00325B71" w:rsidRDefault="00000000">
          <w:pPr>
            <w:pStyle w:val="TOC2"/>
            <w:tabs>
              <w:tab w:val="left" w:pos="660"/>
              <w:tab w:val="right" w:leader="dot" w:pos="9016"/>
            </w:tabs>
            <w:rPr>
              <w:rFonts w:eastAsiaTheme="minorEastAsia"/>
              <w:noProof/>
              <w:lang w:eastAsia="en-GB"/>
            </w:rPr>
          </w:pPr>
          <w:hyperlink w:anchor="_Toc157067000" w:history="1">
            <w:r w:rsidR="00325B71" w:rsidRPr="008C7E84">
              <w:rPr>
                <w:rStyle w:val="Hyperlink"/>
                <w:noProof/>
              </w:rPr>
              <w:t>3.</w:t>
            </w:r>
            <w:r w:rsidR="00325B71">
              <w:rPr>
                <w:rFonts w:eastAsiaTheme="minorEastAsia"/>
                <w:noProof/>
                <w:lang w:eastAsia="en-GB"/>
              </w:rPr>
              <w:tab/>
            </w:r>
            <w:r w:rsidR="00325B71" w:rsidRPr="008C7E84">
              <w:rPr>
                <w:rStyle w:val="Hyperlink"/>
                <w:noProof/>
              </w:rPr>
              <w:t>Large Scale Enquiries:</w:t>
            </w:r>
            <w:r w:rsidR="00325B71">
              <w:rPr>
                <w:noProof/>
                <w:webHidden/>
              </w:rPr>
              <w:tab/>
            </w:r>
            <w:r w:rsidR="00325B71">
              <w:rPr>
                <w:noProof/>
                <w:webHidden/>
              </w:rPr>
              <w:fldChar w:fldCharType="begin"/>
            </w:r>
            <w:r w:rsidR="00325B71">
              <w:rPr>
                <w:noProof/>
                <w:webHidden/>
              </w:rPr>
              <w:instrText xml:space="preserve"> PAGEREF _Toc157067000 \h </w:instrText>
            </w:r>
            <w:r w:rsidR="00325B71">
              <w:rPr>
                <w:noProof/>
                <w:webHidden/>
              </w:rPr>
            </w:r>
            <w:r w:rsidR="00325B71">
              <w:rPr>
                <w:noProof/>
                <w:webHidden/>
              </w:rPr>
              <w:fldChar w:fldCharType="separate"/>
            </w:r>
            <w:r w:rsidR="00F56281">
              <w:rPr>
                <w:noProof/>
                <w:webHidden/>
              </w:rPr>
              <w:t>7</w:t>
            </w:r>
            <w:r w:rsidR="00325B71">
              <w:rPr>
                <w:noProof/>
                <w:webHidden/>
              </w:rPr>
              <w:fldChar w:fldCharType="end"/>
            </w:r>
          </w:hyperlink>
        </w:p>
        <w:p w14:paraId="5887DEB9" w14:textId="3BBD9983" w:rsidR="00325B71" w:rsidRDefault="00000000">
          <w:pPr>
            <w:pStyle w:val="TOC3"/>
            <w:tabs>
              <w:tab w:val="left" w:pos="1100"/>
              <w:tab w:val="right" w:leader="dot" w:pos="9016"/>
            </w:tabs>
            <w:rPr>
              <w:rFonts w:eastAsiaTheme="minorEastAsia"/>
              <w:noProof/>
              <w:lang w:eastAsia="en-GB"/>
            </w:rPr>
          </w:pPr>
          <w:hyperlink w:anchor="_Toc157067001" w:history="1">
            <w:r w:rsidR="00325B71" w:rsidRPr="008C7E84">
              <w:rPr>
                <w:rStyle w:val="Hyperlink"/>
                <w:noProof/>
              </w:rPr>
              <w:t>3.1</w:t>
            </w:r>
            <w:r w:rsidR="00325B71">
              <w:rPr>
                <w:rFonts w:eastAsiaTheme="minorEastAsia"/>
                <w:noProof/>
                <w:lang w:eastAsia="en-GB"/>
              </w:rPr>
              <w:tab/>
            </w:r>
            <w:r w:rsidR="00325B71" w:rsidRPr="008C7E84">
              <w:rPr>
                <w:rStyle w:val="Hyperlink"/>
                <w:noProof/>
              </w:rPr>
              <w:t>Relationship With Other Safeguarding Enquiries:</w:t>
            </w:r>
            <w:r w:rsidR="00325B71">
              <w:rPr>
                <w:noProof/>
                <w:webHidden/>
              </w:rPr>
              <w:tab/>
            </w:r>
            <w:r w:rsidR="00325B71">
              <w:rPr>
                <w:noProof/>
                <w:webHidden/>
              </w:rPr>
              <w:fldChar w:fldCharType="begin"/>
            </w:r>
            <w:r w:rsidR="00325B71">
              <w:rPr>
                <w:noProof/>
                <w:webHidden/>
              </w:rPr>
              <w:instrText xml:space="preserve"> PAGEREF _Toc157067001 \h </w:instrText>
            </w:r>
            <w:r w:rsidR="00325B71">
              <w:rPr>
                <w:noProof/>
                <w:webHidden/>
              </w:rPr>
            </w:r>
            <w:r w:rsidR="00325B71">
              <w:rPr>
                <w:noProof/>
                <w:webHidden/>
              </w:rPr>
              <w:fldChar w:fldCharType="separate"/>
            </w:r>
            <w:r w:rsidR="00F56281">
              <w:rPr>
                <w:noProof/>
                <w:webHidden/>
              </w:rPr>
              <w:t>8</w:t>
            </w:r>
            <w:r w:rsidR="00325B71">
              <w:rPr>
                <w:noProof/>
                <w:webHidden/>
              </w:rPr>
              <w:fldChar w:fldCharType="end"/>
            </w:r>
          </w:hyperlink>
        </w:p>
        <w:p w14:paraId="6F7850CC" w14:textId="4DFBC04B" w:rsidR="00325B71" w:rsidRDefault="00000000">
          <w:pPr>
            <w:pStyle w:val="TOC2"/>
            <w:tabs>
              <w:tab w:val="left" w:pos="660"/>
              <w:tab w:val="right" w:leader="dot" w:pos="9016"/>
            </w:tabs>
            <w:rPr>
              <w:rFonts w:eastAsiaTheme="minorEastAsia"/>
              <w:noProof/>
              <w:lang w:eastAsia="en-GB"/>
            </w:rPr>
          </w:pPr>
          <w:hyperlink w:anchor="_Toc157067002" w:history="1">
            <w:r w:rsidR="00325B71" w:rsidRPr="008C7E84">
              <w:rPr>
                <w:rStyle w:val="Hyperlink"/>
                <w:noProof/>
              </w:rPr>
              <w:t>4.</w:t>
            </w:r>
            <w:r w:rsidR="00325B71">
              <w:rPr>
                <w:rFonts w:eastAsiaTheme="minorEastAsia"/>
                <w:noProof/>
                <w:lang w:eastAsia="en-GB"/>
              </w:rPr>
              <w:tab/>
            </w:r>
            <w:r w:rsidR="00325B71" w:rsidRPr="008C7E84">
              <w:rPr>
                <w:rStyle w:val="Hyperlink"/>
                <w:noProof/>
              </w:rPr>
              <w:t>Practice Considerations:</w:t>
            </w:r>
            <w:r w:rsidR="00325B71">
              <w:rPr>
                <w:noProof/>
                <w:webHidden/>
              </w:rPr>
              <w:tab/>
            </w:r>
            <w:r w:rsidR="00325B71">
              <w:rPr>
                <w:noProof/>
                <w:webHidden/>
              </w:rPr>
              <w:fldChar w:fldCharType="begin"/>
            </w:r>
            <w:r w:rsidR="00325B71">
              <w:rPr>
                <w:noProof/>
                <w:webHidden/>
              </w:rPr>
              <w:instrText xml:space="preserve"> PAGEREF _Toc157067002 \h </w:instrText>
            </w:r>
            <w:r w:rsidR="00325B71">
              <w:rPr>
                <w:noProof/>
                <w:webHidden/>
              </w:rPr>
            </w:r>
            <w:r w:rsidR="00325B71">
              <w:rPr>
                <w:noProof/>
                <w:webHidden/>
              </w:rPr>
              <w:fldChar w:fldCharType="separate"/>
            </w:r>
            <w:r w:rsidR="00F56281">
              <w:rPr>
                <w:noProof/>
                <w:webHidden/>
              </w:rPr>
              <w:t>9</w:t>
            </w:r>
            <w:r w:rsidR="00325B71">
              <w:rPr>
                <w:noProof/>
                <w:webHidden/>
              </w:rPr>
              <w:fldChar w:fldCharType="end"/>
            </w:r>
          </w:hyperlink>
        </w:p>
        <w:p w14:paraId="75C08A08" w14:textId="5C624726" w:rsidR="00325B71" w:rsidRDefault="00000000">
          <w:pPr>
            <w:pStyle w:val="TOC3"/>
            <w:tabs>
              <w:tab w:val="left" w:pos="1100"/>
              <w:tab w:val="right" w:leader="dot" w:pos="9016"/>
            </w:tabs>
            <w:rPr>
              <w:rFonts w:eastAsiaTheme="minorEastAsia"/>
              <w:noProof/>
              <w:lang w:eastAsia="en-GB"/>
            </w:rPr>
          </w:pPr>
          <w:hyperlink w:anchor="_Toc157067003" w:history="1">
            <w:r w:rsidR="00325B71" w:rsidRPr="008C7E84">
              <w:rPr>
                <w:rStyle w:val="Hyperlink"/>
                <w:noProof/>
              </w:rPr>
              <w:t>4.1</w:t>
            </w:r>
            <w:r w:rsidR="00325B71">
              <w:rPr>
                <w:rFonts w:eastAsiaTheme="minorEastAsia"/>
                <w:noProof/>
                <w:lang w:eastAsia="en-GB"/>
              </w:rPr>
              <w:tab/>
            </w:r>
            <w:r w:rsidR="00325B71" w:rsidRPr="008C7E84">
              <w:rPr>
                <w:rStyle w:val="Hyperlink"/>
                <w:noProof/>
              </w:rPr>
              <w:t>Who To Involve Within Large Scale Enquiries:</w:t>
            </w:r>
            <w:r w:rsidR="00325B71">
              <w:rPr>
                <w:noProof/>
                <w:webHidden/>
              </w:rPr>
              <w:tab/>
            </w:r>
            <w:r w:rsidR="00325B71">
              <w:rPr>
                <w:noProof/>
                <w:webHidden/>
              </w:rPr>
              <w:fldChar w:fldCharType="begin"/>
            </w:r>
            <w:r w:rsidR="00325B71">
              <w:rPr>
                <w:noProof/>
                <w:webHidden/>
              </w:rPr>
              <w:instrText xml:space="preserve"> PAGEREF _Toc157067003 \h </w:instrText>
            </w:r>
            <w:r w:rsidR="00325B71">
              <w:rPr>
                <w:noProof/>
                <w:webHidden/>
              </w:rPr>
            </w:r>
            <w:r w:rsidR="00325B71">
              <w:rPr>
                <w:noProof/>
                <w:webHidden/>
              </w:rPr>
              <w:fldChar w:fldCharType="separate"/>
            </w:r>
            <w:r w:rsidR="00F56281">
              <w:rPr>
                <w:noProof/>
                <w:webHidden/>
              </w:rPr>
              <w:t>9</w:t>
            </w:r>
            <w:r w:rsidR="00325B71">
              <w:rPr>
                <w:noProof/>
                <w:webHidden/>
              </w:rPr>
              <w:fldChar w:fldCharType="end"/>
            </w:r>
          </w:hyperlink>
        </w:p>
        <w:p w14:paraId="767C52B5" w14:textId="42358852" w:rsidR="00325B71" w:rsidRDefault="00000000">
          <w:pPr>
            <w:pStyle w:val="TOC3"/>
            <w:tabs>
              <w:tab w:val="left" w:pos="1100"/>
              <w:tab w:val="right" w:leader="dot" w:pos="9016"/>
            </w:tabs>
            <w:rPr>
              <w:rFonts w:eastAsiaTheme="minorEastAsia"/>
              <w:noProof/>
              <w:lang w:eastAsia="en-GB"/>
            </w:rPr>
          </w:pPr>
          <w:hyperlink w:anchor="_Toc157067004" w:history="1">
            <w:r w:rsidR="00325B71" w:rsidRPr="008C7E84">
              <w:rPr>
                <w:rStyle w:val="Hyperlink"/>
                <w:noProof/>
              </w:rPr>
              <w:t>4.2</w:t>
            </w:r>
            <w:r w:rsidR="00325B71">
              <w:rPr>
                <w:rFonts w:eastAsiaTheme="minorEastAsia"/>
                <w:noProof/>
                <w:lang w:eastAsia="en-GB"/>
              </w:rPr>
              <w:tab/>
            </w:r>
            <w:r w:rsidR="00325B71" w:rsidRPr="008C7E84">
              <w:rPr>
                <w:rStyle w:val="Hyperlink"/>
                <w:noProof/>
              </w:rPr>
              <w:t>Involvement of Adults at Risk and Their Relatives:</w:t>
            </w:r>
            <w:r w:rsidR="00325B71">
              <w:rPr>
                <w:noProof/>
                <w:webHidden/>
              </w:rPr>
              <w:tab/>
            </w:r>
            <w:r w:rsidR="00325B71">
              <w:rPr>
                <w:noProof/>
                <w:webHidden/>
              </w:rPr>
              <w:fldChar w:fldCharType="begin"/>
            </w:r>
            <w:r w:rsidR="00325B71">
              <w:rPr>
                <w:noProof/>
                <w:webHidden/>
              </w:rPr>
              <w:instrText xml:space="preserve"> PAGEREF _Toc157067004 \h </w:instrText>
            </w:r>
            <w:r w:rsidR="00325B71">
              <w:rPr>
                <w:noProof/>
                <w:webHidden/>
              </w:rPr>
            </w:r>
            <w:r w:rsidR="00325B71">
              <w:rPr>
                <w:noProof/>
                <w:webHidden/>
              </w:rPr>
              <w:fldChar w:fldCharType="separate"/>
            </w:r>
            <w:r w:rsidR="00F56281">
              <w:rPr>
                <w:noProof/>
                <w:webHidden/>
              </w:rPr>
              <w:t>9</w:t>
            </w:r>
            <w:r w:rsidR="00325B71">
              <w:rPr>
                <w:noProof/>
                <w:webHidden/>
              </w:rPr>
              <w:fldChar w:fldCharType="end"/>
            </w:r>
          </w:hyperlink>
        </w:p>
        <w:p w14:paraId="1A7DE90F" w14:textId="2769F6DA" w:rsidR="00325B71" w:rsidRDefault="00000000">
          <w:pPr>
            <w:pStyle w:val="TOC3"/>
            <w:tabs>
              <w:tab w:val="left" w:pos="1100"/>
              <w:tab w:val="right" w:leader="dot" w:pos="9016"/>
            </w:tabs>
            <w:rPr>
              <w:rFonts w:eastAsiaTheme="minorEastAsia"/>
              <w:noProof/>
              <w:lang w:eastAsia="en-GB"/>
            </w:rPr>
          </w:pPr>
          <w:hyperlink w:anchor="_Toc157067005" w:history="1">
            <w:r w:rsidR="00325B71" w:rsidRPr="008C7E84">
              <w:rPr>
                <w:rStyle w:val="Hyperlink"/>
                <w:noProof/>
              </w:rPr>
              <w:t>4.3</w:t>
            </w:r>
            <w:r w:rsidR="00325B71">
              <w:rPr>
                <w:rFonts w:eastAsiaTheme="minorEastAsia"/>
                <w:noProof/>
                <w:lang w:eastAsia="en-GB"/>
              </w:rPr>
              <w:tab/>
            </w:r>
            <w:r w:rsidR="00325B71" w:rsidRPr="008C7E84">
              <w:rPr>
                <w:rStyle w:val="Hyperlink"/>
                <w:noProof/>
              </w:rPr>
              <w:t>Involvement of the Service Provider:</w:t>
            </w:r>
            <w:r w:rsidR="00325B71">
              <w:rPr>
                <w:noProof/>
                <w:webHidden/>
              </w:rPr>
              <w:tab/>
            </w:r>
            <w:r w:rsidR="00325B71">
              <w:rPr>
                <w:noProof/>
                <w:webHidden/>
              </w:rPr>
              <w:fldChar w:fldCharType="begin"/>
            </w:r>
            <w:r w:rsidR="00325B71">
              <w:rPr>
                <w:noProof/>
                <w:webHidden/>
              </w:rPr>
              <w:instrText xml:space="preserve"> PAGEREF _Toc157067005 \h </w:instrText>
            </w:r>
            <w:r w:rsidR="00325B71">
              <w:rPr>
                <w:noProof/>
                <w:webHidden/>
              </w:rPr>
            </w:r>
            <w:r w:rsidR="00325B71">
              <w:rPr>
                <w:noProof/>
                <w:webHidden/>
              </w:rPr>
              <w:fldChar w:fldCharType="separate"/>
            </w:r>
            <w:r w:rsidR="00F56281">
              <w:rPr>
                <w:noProof/>
                <w:webHidden/>
              </w:rPr>
              <w:t>10</w:t>
            </w:r>
            <w:r w:rsidR="00325B71">
              <w:rPr>
                <w:noProof/>
                <w:webHidden/>
              </w:rPr>
              <w:fldChar w:fldCharType="end"/>
            </w:r>
          </w:hyperlink>
        </w:p>
        <w:p w14:paraId="6B62AF4D" w14:textId="7181F4D2" w:rsidR="00325B71" w:rsidRDefault="00000000">
          <w:pPr>
            <w:pStyle w:val="TOC3"/>
            <w:tabs>
              <w:tab w:val="left" w:pos="1100"/>
              <w:tab w:val="right" w:leader="dot" w:pos="9016"/>
            </w:tabs>
            <w:rPr>
              <w:rFonts w:eastAsiaTheme="minorEastAsia"/>
              <w:noProof/>
              <w:lang w:eastAsia="en-GB"/>
            </w:rPr>
          </w:pPr>
          <w:hyperlink w:anchor="_Toc157067006" w:history="1">
            <w:r w:rsidR="00325B71" w:rsidRPr="008C7E84">
              <w:rPr>
                <w:rStyle w:val="Hyperlink"/>
                <w:noProof/>
              </w:rPr>
              <w:t>4.4</w:t>
            </w:r>
            <w:r w:rsidR="00325B71">
              <w:rPr>
                <w:rFonts w:eastAsiaTheme="minorEastAsia"/>
                <w:noProof/>
                <w:lang w:eastAsia="en-GB"/>
              </w:rPr>
              <w:tab/>
            </w:r>
            <w:r w:rsidR="00325B71" w:rsidRPr="008C7E84">
              <w:rPr>
                <w:rStyle w:val="Hyperlink"/>
                <w:noProof/>
              </w:rPr>
              <w:t>Involvement and Responsibilities of Non-Calderdale Placing Authorities:</w:t>
            </w:r>
            <w:r w:rsidR="00325B71">
              <w:rPr>
                <w:noProof/>
                <w:webHidden/>
              </w:rPr>
              <w:tab/>
            </w:r>
            <w:r w:rsidR="00325B71">
              <w:rPr>
                <w:noProof/>
                <w:webHidden/>
              </w:rPr>
              <w:fldChar w:fldCharType="begin"/>
            </w:r>
            <w:r w:rsidR="00325B71">
              <w:rPr>
                <w:noProof/>
                <w:webHidden/>
              </w:rPr>
              <w:instrText xml:space="preserve"> PAGEREF _Toc157067006 \h </w:instrText>
            </w:r>
            <w:r w:rsidR="00325B71">
              <w:rPr>
                <w:noProof/>
                <w:webHidden/>
              </w:rPr>
            </w:r>
            <w:r w:rsidR="00325B71">
              <w:rPr>
                <w:noProof/>
                <w:webHidden/>
              </w:rPr>
              <w:fldChar w:fldCharType="separate"/>
            </w:r>
            <w:r w:rsidR="00F56281">
              <w:rPr>
                <w:noProof/>
                <w:webHidden/>
              </w:rPr>
              <w:t>10</w:t>
            </w:r>
            <w:r w:rsidR="00325B71">
              <w:rPr>
                <w:noProof/>
                <w:webHidden/>
              </w:rPr>
              <w:fldChar w:fldCharType="end"/>
            </w:r>
          </w:hyperlink>
        </w:p>
        <w:p w14:paraId="43EC086C" w14:textId="2E60F540" w:rsidR="00325B71" w:rsidRDefault="00000000">
          <w:pPr>
            <w:pStyle w:val="TOC2"/>
            <w:tabs>
              <w:tab w:val="left" w:pos="660"/>
              <w:tab w:val="right" w:leader="dot" w:pos="9016"/>
            </w:tabs>
            <w:rPr>
              <w:rFonts w:eastAsiaTheme="minorEastAsia"/>
              <w:noProof/>
              <w:lang w:eastAsia="en-GB"/>
            </w:rPr>
          </w:pPr>
          <w:hyperlink w:anchor="_Toc157067007" w:history="1">
            <w:r w:rsidR="00325B71" w:rsidRPr="008C7E84">
              <w:rPr>
                <w:rStyle w:val="Hyperlink"/>
                <w:noProof/>
              </w:rPr>
              <w:t>5.</w:t>
            </w:r>
            <w:r w:rsidR="00325B71">
              <w:rPr>
                <w:rFonts w:eastAsiaTheme="minorEastAsia"/>
                <w:noProof/>
                <w:lang w:eastAsia="en-GB"/>
              </w:rPr>
              <w:tab/>
            </w:r>
            <w:r w:rsidR="00325B71" w:rsidRPr="008C7E84">
              <w:rPr>
                <w:rStyle w:val="Hyperlink"/>
                <w:noProof/>
              </w:rPr>
              <w:t>Enquiry Planning:</w:t>
            </w:r>
            <w:r w:rsidR="00325B71">
              <w:rPr>
                <w:noProof/>
                <w:webHidden/>
              </w:rPr>
              <w:tab/>
            </w:r>
            <w:r w:rsidR="00325B71">
              <w:rPr>
                <w:noProof/>
                <w:webHidden/>
              </w:rPr>
              <w:fldChar w:fldCharType="begin"/>
            </w:r>
            <w:r w:rsidR="00325B71">
              <w:rPr>
                <w:noProof/>
                <w:webHidden/>
              </w:rPr>
              <w:instrText xml:space="preserve"> PAGEREF _Toc157067007 \h </w:instrText>
            </w:r>
            <w:r w:rsidR="00325B71">
              <w:rPr>
                <w:noProof/>
                <w:webHidden/>
              </w:rPr>
            </w:r>
            <w:r w:rsidR="00325B71">
              <w:rPr>
                <w:noProof/>
                <w:webHidden/>
              </w:rPr>
              <w:fldChar w:fldCharType="separate"/>
            </w:r>
            <w:r w:rsidR="00F56281">
              <w:rPr>
                <w:noProof/>
                <w:webHidden/>
              </w:rPr>
              <w:t>10</w:t>
            </w:r>
            <w:r w:rsidR="00325B71">
              <w:rPr>
                <w:noProof/>
                <w:webHidden/>
              </w:rPr>
              <w:fldChar w:fldCharType="end"/>
            </w:r>
          </w:hyperlink>
        </w:p>
        <w:p w14:paraId="510BDCFE" w14:textId="0C7E01E4" w:rsidR="00325B71" w:rsidRDefault="00000000">
          <w:pPr>
            <w:pStyle w:val="TOC2"/>
            <w:tabs>
              <w:tab w:val="left" w:pos="660"/>
              <w:tab w:val="right" w:leader="dot" w:pos="9016"/>
            </w:tabs>
            <w:rPr>
              <w:rFonts w:eastAsiaTheme="minorEastAsia"/>
              <w:noProof/>
              <w:lang w:eastAsia="en-GB"/>
            </w:rPr>
          </w:pPr>
          <w:hyperlink w:anchor="_Toc157067008" w:history="1">
            <w:r w:rsidR="00325B71" w:rsidRPr="008C7E84">
              <w:rPr>
                <w:rStyle w:val="Hyperlink"/>
                <w:noProof/>
              </w:rPr>
              <w:t>6.</w:t>
            </w:r>
            <w:r w:rsidR="00325B71">
              <w:rPr>
                <w:rFonts w:eastAsiaTheme="minorEastAsia"/>
                <w:noProof/>
                <w:lang w:eastAsia="en-GB"/>
              </w:rPr>
              <w:tab/>
            </w:r>
            <w:r w:rsidR="00325B71" w:rsidRPr="008C7E84">
              <w:rPr>
                <w:rStyle w:val="Hyperlink"/>
                <w:noProof/>
              </w:rPr>
              <w:t>Who Should Undertake a Large Scale Enquiry?</w:t>
            </w:r>
            <w:r w:rsidR="00325B71">
              <w:rPr>
                <w:noProof/>
                <w:webHidden/>
              </w:rPr>
              <w:tab/>
            </w:r>
            <w:r w:rsidR="00325B71">
              <w:rPr>
                <w:noProof/>
                <w:webHidden/>
              </w:rPr>
              <w:fldChar w:fldCharType="begin"/>
            </w:r>
            <w:r w:rsidR="00325B71">
              <w:rPr>
                <w:noProof/>
                <w:webHidden/>
              </w:rPr>
              <w:instrText xml:space="preserve"> PAGEREF _Toc157067008 \h </w:instrText>
            </w:r>
            <w:r w:rsidR="00325B71">
              <w:rPr>
                <w:noProof/>
                <w:webHidden/>
              </w:rPr>
            </w:r>
            <w:r w:rsidR="00325B71">
              <w:rPr>
                <w:noProof/>
                <w:webHidden/>
              </w:rPr>
              <w:fldChar w:fldCharType="separate"/>
            </w:r>
            <w:r w:rsidR="00F56281">
              <w:rPr>
                <w:noProof/>
                <w:webHidden/>
              </w:rPr>
              <w:t>11</w:t>
            </w:r>
            <w:r w:rsidR="00325B71">
              <w:rPr>
                <w:noProof/>
                <w:webHidden/>
              </w:rPr>
              <w:fldChar w:fldCharType="end"/>
            </w:r>
          </w:hyperlink>
        </w:p>
        <w:p w14:paraId="4F29DA3C" w14:textId="051DCCBE" w:rsidR="00325B71" w:rsidRDefault="00000000">
          <w:pPr>
            <w:pStyle w:val="TOC3"/>
            <w:tabs>
              <w:tab w:val="left" w:pos="1100"/>
              <w:tab w:val="right" w:leader="dot" w:pos="9016"/>
            </w:tabs>
            <w:rPr>
              <w:rFonts w:eastAsiaTheme="minorEastAsia"/>
              <w:noProof/>
              <w:lang w:eastAsia="en-GB"/>
            </w:rPr>
          </w:pPr>
          <w:hyperlink w:anchor="_Toc157067009" w:history="1">
            <w:r w:rsidR="00325B71" w:rsidRPr="008C7E84">
              <w:rPr>
                <w:rStyle w:val="Hyperlink"/>
                <w:noProof/>
              </w:rPr>
              <w:t>6.1</w:t>
            </w:r>
            <w:r w:rsidR="00325B71">
              <w:rPr>
                <w:rFonts w:eastAsiaTheme="minorEastAsia"/>
                <w:noProof/>
                <w:lang w:eastAsia="en-GB"/>
              </w:rPr>
              <w:tab/>
            </w:r>
            <w:r w:rsidR="00325B71" w:rsidRPr="008C7E84">
              <w:rPr>
                <w:rStyle w:val="Hyperlink"/>
                <w:noProof/>
              </w:rPr>
              <w:t>Safeguarding Plans:</w:t>
            </w:r>
            <w:r w:rsidR="00325B71">
              <w:rPr>
                <w:noProof/>
                <w:webHidden/>
              </w:rPr>
              <w:tab/>
            </w:r>
            <w:r w:rsidR="00325B71">
              <w:rPr>
                <w:noProof/>
                <w:webHidden/>
              </w:rPr>
              <w:fldChar w:fldCharType="begin"/>
            </w:r>
            <w:r w:rsidR="00325B71">
              <w:rPr>
                <w:noProof/>
                <w:webHidden/>
              </w:rPr>
              <w:instrText xml:space="preserve"> PAGEREF _Toc157067009 \h </w:instrText>
            </w:r>
            <w:r w:rsidR="00325B71">
              <w:rPr>
                <w:noProof/>
                <w:webHidden/>
              </w:rPr>
            </w:r>
            <w:r w:rsidR="00325B71">
              <w:rPr>
                <w:noProof/>
                <w:webHidden/>
              </w:rPr>
              <w:fldChar w:fldCharType="separate"/>
            </w:r>
            <w:r w:rsidR="00F56281">
              <w:rPr>
                <w:noProof/>
                <w:webHidden/>
              </w:rPr>
              <w:t>11</w:t>
            </w:r>
            <w:r w:rsidR="00325B71">
              <w:rPr>
                <w:noProof/>
                <w:webHidden/>
              </w:rPr>
              <w:fldChar w:fldCharType="end"/>
            </w:r>
          </w:hyperlink>
        </w:p>
        <w:p w14:paraId="13A60119" w14:textId="502AAAD0" w:rsidR="00325B71" w:rsidRDefault="00000000">
          <w:pPr>
            <w:pStyle w:val="TOC3"/>
            <w:tabs>
              <w:tab w:val="left" w:pos="1100"/>
              <w:tab w:val="right" w:leader="dot" w:pos="9016"/>
            </w:tabs>
            <w:rPr>
              <w:rFonts w:eastAsiaTheme="minorEastAsia"/>
              <w:noProof/>
              <w:lang w:eastAsia="en-GB"/>
            </w:rPr>
          </w:pPr>
          <w:hyperlink w:anchor="_Toc157067010" w:history="1">
            <w:r w:rsidR="00325B71" w:rsidRPr="008C7E84">
              <w:rPr>
                <w:rStyle w:val="Hyperlink"/>
                <w:noProof/>
              </w:rPr>
              <w:t>6.2</w:t>
            </w:r>
            <w:r w:rsidR="00325B71">
              <w:rPr>
                <w:rFonts w:eastAsiaTheme="minorEastAsia"/>
                <w:noProof/>
                <w:lang w:eastAsia="en-GB"/>
              </w:rPr>
              <w:tab/>
            </w:r>
            <w:r w:rsidR="00325B71" w:rsidRPr="008C7E84">
              <w:rPr>
                <w:rStyle w:val="Hyperlink"/>
                <w:noProof/>
              </w:rPr>
              <w:t>LSE MASM Meetings:</w:t>
            </w:r>
            <w:r w:rsidR="00325B71">
              <w:rPr>
                <w:noProof/>
                <w:webHidden/>
              </w:rPr>
              <w:tab/>
            </w:r>
            <w:r w:rsidR="00325B71">
              <w:rPr>
                <w:noProof/>
                <w:webHidden/>
              </w:rPr>
              <w:fldChar w:fldCharType="begin"/>
            </w:r>
            <w:r w:rsidR="00325B71">
              <w:rPr>
                <w:noProof/>
                <w:webHidden/>
              </w:rPr>
              <w:instrText xml:space="preserve"> PAGEREF _Toc157067010 \h </w:instrText>
            </w:r>
            <w:r w:rsidR="00325B71">
              <w:rPr>
                <w:noProof/>
                <w:webHidden/>
              </w:rPr>
            </w:r>
            <w:r w:rsidR="00325B71">
              <w:rPr>
                <w:noProof/>
                <w:webHidden/>
              </w:rPr>
              <w:fldChar w:fldCharType="separate"/>
            </w:r>
            <w:r w:rsidR="00F56281">
              <w:rPr>
                <w:noProof/>
                <w:webHidden/>
              </w:rPr>
              <w:t>12</w:t>
            </w:r>
            <w:r w:rsidR="00325B71">
              <w:rPr>
                <w:noProof/>
                <w:webHidden/>
              </w:rPr>
              <w:fldChar w:fldCharType="end"/>
            </w:r>
          </w:hyperlink>
        </w:p>
        <w:p w14:paraId="6284D2A1" w14:textId="4D51C421" w:rsidR="00325B71" w:rsidRDefault="00000000">
          <w:pPr>
            <w:pStyle w:val="TOC3"/>
            <w:tabs>
              <w:tab w:val="left" w:pos="1100"/>
              <w:tab w:val="right" w:leader="dot" w:pos="9016"/>
            </w:tabs>
            <w:rPr>
              <w:rFonts w:eastAsiaTheme="minorEastAsia"/>
              <w:noProof/>
              <w:lang w:eastAsia="en-GB"/>
            </w:rPr>
          </w:pPr>
          <w:hyperlink w:anchor="_Toc157067011" w:history="1">
            <w:r w:rsidR="00325B71" w:rsidRPr="008C7E84">
              <w:rPr>
                <w:rStyle w:val="Hyperlink"/>
                <w:noProof/>
              </w:rPr>
              <w:t>6.3</w:t>
            </w:r>
            <w:r w:rsidR="00325B71">
              <w:rPr>
                <w:rFonts w:eastAsiaTheme="minorEastAsia"/>
                <w:noProof/>
                <w:lang w:eastAsia="en-GB"/>
              </w:rPr>
              <w:tab/>
            </w:r>
            <w:r w:rsidR="00325B71" w:rsidRPr="008C7E84">
              <w:rPr>
                <w:rStyle w:val="Hyperlink"/>
                <w:noProof/>
              </w:rPr>
              <w:t>Informing Wider Service Users/Patients:</w:t>
            </w:r>
            <w:r w:rsidR="00325B71">
              <w:rPr>
                <w:noProof/>
                <w:webHidden/>
              </w:rPr>
              <w:tab/>
            </w:r>
            <w:r w:rsidR="00325B71">
              <w:rPr>
                <w:noProof/>
                <w:webHidden/>
              </w:rPr>
              <w:fldChar w:fldCharType="begin"/>
            </w:r>
            <w:r w:rsidR="00325B71">
              <w:rPr>
                <w:noProof/>
                <w:webHidden/>
              </w:rPr>
              <w:instrText xml:space="preserve"> PAGEREF _Toc157067011 \h </w:instrText>
            </w:r>
            <w:r w:rsidR="00325B71">
              <w:rPr>
                <w:noProof/>
                <w:webHidden/>
              </w:rPr>
            </w:r>
            <w:r w:rsidR="00325B71">
              <w:rPr>
                <w:noProof/>
                <w:webHidden/>
              </w:rPr>
              <w:fldChar w:fldCharType="separate"/>
            </w:r>
            <w:r w:rsidR="00F56281">
              <w:rPr>
                <w:noProof/>
                <w:webHidden/>
              </w:rPr>
              <w:t>12</w:t>
            </w:r>
            <w:r w:rsidR="00325B71">
              <w:rPr>
                <w:noProof/>
                <w:webHidden/>
              </w:rPr>
              <w:fldChar w:fldCharType="end"/>
            </w:r>
          </w:hyperlink>
        </w:p>
        <w:p w14:paraId="1C914D52" w14:textId="627E6744" w:rsidR="00325B71" w:rsidRDefault="00000000">
          <w:pPr>
            <w:pStyle w:val="TOC3"/>
            <w:tabs>
              <w:tab w:val="left" w:pos="1100"/>
              <w:tab w:val="right" w:leader="dot" w:pos="9016"/>
            </w:tabs>
            <w:rPr>
              <w:rFonts w:eastAsiaTheme="minorEastAsia"/>
              <w:noProof/>
              <w:lang w:eastAsia="en-GB"/>
            </w:rPr>
          </w:pPr>
          <w:hyperlink w:anchor="_Toc157067012" w:history="1">
            <w:r w:rsidR="00325B71" w:rsidRPr="008C7E84">
              <w:rPr>
                <w:rStyle w:val="Hyperlink"/>
                <w:noProof/>
              </w:rPr>
              <w:t>6.4</w:t>
            </w:r>
            <w:r w:rsidR="00325B71">
              <w:rPr>
                <w:rFonts w:eastAsiaTheme="minorEastAsia"/>
                <w:noProof/>
                <w:lang w:eastAsia="en-GB"/>
              </w:rPr>
              <w:tab/>
            </w:r>
            <w:r w:rsidR="00325B71" w:rsidRPr="008C7E84">
              <w:rPr>
                <w:rStyle w:val="Hyperlink"/>
                <w:noProof/>
              </w:rPr>
              <w:t>Wider Service User/Patient Reviews:</w:t>
            </w:r>
            <w:r w:rsidR="00325B71">
              <w:rPr>
                <w:noProof/>
                <w:webHidden/>
              </w:rPr>
              <w:tab/>
            </w:r>
            <w:r w:rsidR="00325B71">
              <w:rPr>
                <w:noProof/>
                <w:webHidden/>
              </w:rPr>
              <w:fldChar w:fldCharType="begin"/>
            </w:r>
            <w:r w:rsidR="00325B71">
              <w:rPr>
                <w:noProof/>
                <w:webHidden/>
              </w:rPr>
              <w:instrText xml:space="preserve"> PAGEREF _Toc157067012 \h </w:instrText>
            </w:r>
            <w:r w:rsidR="00325B71">
              <w:rPr>
                <w:noProof/>
                <w:webHidden/>
              </w:rPr>
            </w:r>
            <w:r w:rsidR="00325B71">
              <w:rPr>
                <w:noProof/>
                <w:webHidden/>
              </w:rPr>
              <w:fldChar w:fldCharType="separate"/>
            </w:r>
            <w:r w:rsidR="00F56281">
              <w:rPr>
                <w:noProof/>
                <w:webHidden/>
              </w:rPr>
              <w:t>12</w:t>
            </w:r>
            <w:r w:rsidR="00325B71">
              <w:rPr>
                <w:noProof/>
                <w:webHidden/>
              </w:rPr>
              <w:fldChar w:fldCharType="end"/>
            </w:r>
          </w:hyperlink>
        </w:p>
        <w:p w14:paraId="0D500CAC" w14:textId="5FCFF573" w:rsidR="00325B71" w:rsidRDefault="00000000">
          <w:pPr>
            <w:pStyle w:val="TOC3"/>
            <w:tabs>
              <w:tab w:val="left" w:pos="1100"/>
              <w:tab w:val="right" w:leader="dot" w:pos="9016"/>
            </w:tabs>
            <w:rPr>
              <w:rFonts w:eastAsiaTheme="minorEastAsia"/>
              <w:noProof/>
              <w:lang w:eastAsia="en-GB"/>
            </w:rPr>
          </w:pPr>
          <w:hyperlink w:anchor="_Toc157067013" w:history="1">
            <w:r w:rsidR="00325B71" w:rsidRPr="008C7E84">
              <w:rPr>
                <w:rStyle w:val="Hyperlink"/>
                <w:noProof/>
              </w:rPr>
              <w:t>6.5</w:t>
            </w:r>
            <w:r w:rsidR="00325B71">
              <w:rPr>
                <w:rFonts w:eastAsiaTheme="minorEastAsia"/>
                <w:noProof/>
                <w:lang w:eastAsia="en-GB"/>
              </w:rPr>
              <w:tab/>
            </w:r>
            <w:r w:rsidR="00325B71" w:rsidRPr="008C7E84">
              <w:rPr>
                <w:rStyle w:val="Hyperlink"/>
                <w:noProof/>
              </w:rPr>
              <w:t>Media Interest:</w:t>
            </w:r>
            <w:r w:rsidR="00325B71">
              <w:rPr>
                <w:noProof/>
                <w:webHidden/>
              </w:rPr>
              <w:tab/>
            </w:r>
            <w:r w:rsidR="00325B71">
              <w:rPr>
                <w:noProof/>
                <w:webHidden/>
              </w:rPr>
              <w:fldChar w:fldCharType="begin"/>
            </w:r>
            <w:r w:rsidR="00325B71">
              <w:rPr>
                <w:noProof/>
                <w:webHidden/>
              </w:rPr>
              <w:instrText xml:space="preserve"> PAGEREF _Toc157067013 \h </w:instrText>
            </w:r>
            <w:r w:rsidR="00325B71">
              <w:rPr>
                <w:noProof/>
                <w:webHidden/>
              </w:rPr>
            </w:r>
            <w:r w:rsidR="00325B71">
              <w:rPr>
                <w:noProof/>
                <w:webHidden/>
              </w:rPr>
              <w:fldChar w:fldCharType="separate"/>
            </w:r>
            <w:r w:rsidR="00F56281">
              <w:rPr>
                <w:noProof/>
                <w:webHidden/>
              </w:rPr>
              <w:t>12</w:t>
            </w:r>
            <w:r w:rsidR="00325B71">
              <w:rPr>
                <w:noProof/>
                <w:webHidden/>
              </w:rPr>
              <w:fldChar w:fldCharType="end"/>
            </w:r>
          </w:hyperlink>
        </w:p>
        <w:p w14:paraId="5302D9B5" w14:textId="7AE80B17" w:rsidR="00325B71" w:rsidRDefault="00000000">
          <w:pPr>
            <w:pStyle w:val="TOC3"/>
            <w:tabs>
              <w:tab w:val="left" w:pos="1100"/>
              <w:tab w:val="right" w:leader="dot" w:pos="9016"/>
            </w:tabs>
            <w:rPr>
              <w:rFonts w:eastAsiaTheme="minorEastAsia"/>
              <w:noProof/>
              <w:lang w:eastAsia="en-GB"/>
            </w:rPr>
          </w:pPr>
          <w:hyperlink w:anchor="_Toc157067014" w:history="1">
            <w:r w:rsidR="00325B71" w:rsidRPr="008C7E84">
              <w:rPr>
                <w:rStyle w:val="Hyperlink"/>
                <w:noProof/>
              </w:rPr>
              <w:t>6.6</w:t>
            </w:r>
            <w:r w:rsidR="00325B71">
              <w:rPr>
                <w:rFonts w:eastAsiaTheme="minorEastAsia"/>
                <w:noProof/>
                <w:lang w:eastAsia="en-GB"/>
              </w:rPr>
              <w:tab/>
            </w:r>
            <w:r w:rsidR="00325B71" w:rsidRPr="008C7E84">
              <w:rPr>
                <w:rStyle w:val="Hyperlink"/>
                <w:noProof/>
              </w:rPr>
              <w:t>Police Involvement:</w:t>
            </w:r>
            <w:r w:rsidR="00325B71">
              <w:rPr>
                <w:noProof/>
                <w:webHidden/>
              </w:rPr>
              <w:tab/>
            </w:r>
            <w:r w:rsidR="00325B71">
              <w:rPr>
                <w:noProof/>
                <w:webHidden/>
              </w:rPr>
              <w:fldChar w:fldCharType="begin"/>
            </w:r>
            <w:r w:rsidR="00325B71">
              <w:rPr>
                <w:noProof/>
                <w:webHidden/>
              </w:rPr>
              <w:instrText xml:space="preserve"> PAGEREF _Toc157067014 \h </w:instrText>
            </w:r>
            <w:r w:rsidR="00325B71">
              <w:rPr>
                <w:noProof/>
                <w:webHidden/>
              </w:rPr>
            </w:r>
            <w:r w:rsidR="00325B71">
              <w:rPr>
                <w:noProof/>
                <w:webHidden/>
              </w:rPr>
              <w:fldChar w:fldCharType="separate"/>
            </w:r>
            <w:r w:rsidR="00F56281">
              <w:rPr>
                <w:noProof/>
                <w:webHidden/>
              </w:rPr>
              <w:t>13</w:t>
            </w:r>
            <w:r w:rsidR="00325B71">
              <w:rPr>
                <w:noProof/>
                <w:webHidden/>
              </w:rPr>
              <w:fldChar w:fldCharType="end"/>
            </w:r>
          </w:hyperlink>
        </w:p>
        <w:p w14:paraId="2F66C993" w14:textId="66AAA8DE" w:rsidR="00325B71" w:rsidRDefault="00000000">
          <w:pPr>
            <w:pStyle w:val="TOC2"/>
            <w:tabs>
              <w:tab w:val="left" w:pos="660"/>
              <w:tab w:val="right" w:leader="dot" w:pos="9016"/>
            </w:tabs>
            <w:rPr>
              <w:rFonts w:eastAsiaTheme="minorEastAsia"/>
              <w:noProof/>
              <w:lang w:eastAsia="en-GB"/>
            </w:rPr>
          </w:pPr>
          <w:hyperlink w:anchor="_Toc157067015" w:history="1">
            <w:r w:rsidR="00325B71" w:rsidRPr="008C7E84">
              <w:rPr>
                <w:rStyle w:val="Hyperlink"/>
                <w:noProof/>
              </w:rPr>
              <w:t>7.</w:t>
            </w:r>
            <w:r w:rsidR="00325B71">
              <w:rPr>
                <w:rFonts w:eastAsiaTheme="minorEastAsia"/>
                <w:noProof/>
                <w:lang w:eastAsia="en-GB"/>
              </w:rPr>
              <w:tab/>
            </w:r>
            <w:r w:rsidR="00325B71" w:rsidRPr="008C7E84">
              <w:rPr>
                <w:rStyle w:val="Hyperlink"/>
                <w:noProof/>
              </w:rPr>
              <w:t>Out of Area Placements:</w:t>
            </w:r>
            <w:r w:rsidR="00325B71">
              <w:rPr>
                <w:noProof/>
                <w:webHidden/>
              </w:rPr>
              <w:tab/>
            </w:r>
            <w:r w:rsidR="00325B71">
              <w:rPr>
                <w:noProof/>
                <w:webHidden/>
              </w:rPr>
              <w:fldChar w:fldCharType="begin"/>
            </w:r>
            <w:r w:rsidR="00325B71">
              <w:rPr>
                <w:noProof/>
                <w:webHidden/>
              </w:rPr>
              <w:instrText xml:space="preserve"> PAGEREF _Toc157067015 \h </w:instrText>
            </w:r>
            <w:r w:rsidR="00325B71">
              <w:rPr>
                <w:noProof/>
                <w:webHidden/>
              </w:rPr>
            </w:r>
            <w:r w:rsidR="00325B71">
              <w:rPr>
                <w:noProof/>
                <w:webHidden/>
              </w:rPr>
              <w:fldChar w:fldCharType="separate"/>
            </w:r>
            <w:r w:rsidR="00F56281">
              <w:rPr>
                <w:noProof/>
                <w:webHidden/>
              </w:rPr>
              <w:t>13</w:t>
            </w:r>
            <w:r w:rsidR="00325B71">
              <w:rPr>
                <w:noProof/>
                <w:webHidden/>
              </w:rPr>
              <w:fldChar w:fldCharType="end"/>
            </w:r>
          </w:hyperlink>
        </w:p>
        <w:p w14:paraId="154FD78F" w14:textId="4A5F4146" w:rsidR="00325B71" w:rsidRDefault="00000000">
          <w:pPr>
            <w:pStyle w:val="TOC3"/>
            <w:tabs>
              <w:tab w:val="left" w:pos="1100"/>
              <w:tab w:val="right" w:leader="dot" w:pos="9016"/>
            </w:tabs>
            <w:rPr>
              <w:rFonts w:eastAsiaTheme="minorEastAsia"/>
              <w:noProof/>
              <w:lang w:eastAsia="en-GB"/>
            </w:rPr>
          </w:pPr>
          <w:hyperlink w:anchor="_Toc157067016" w:history="1">
            <w:r w:rsidR="00325B71" w:rsidRPr="008C7E84">
              <w:rPr>
                <w:rStyle w:val="Hyperlink"/>
                <w:noProof/>
              </w:rPr>
              <w:t>7.1</w:t>
            </w:r>
            <w:r w:rsidR="00325B71">
              <w:rPr>
                <w:rFonts w:eastAsiaTheme="minorEastAsia"/>
                <w:noProof/>
                <w:lang w:eastAsia="en-GB"/>
              </w:rPr>
              <w:tab/>
            </w:r>
            <w:r w:rsidR="00325B71" w:rsidRPr="008C7E84">
              <w:rPr>
                <w:rStyle w:val="Hyperlink"/>
                <w:noProof/>
              </w:rPr>
              <w:t>The Role of Care Quality Commission (CQC):</w:t>
            </w:r>
            <w:r w:rsidR="00325B71">
              <w:rPr>
                <w:noProof/>
                <w:webHidden/>
              </w:rPr>
              <w:tab/>
            </w:r>
            <w:r w:rsidR="00325B71">
              <w:rPr>
                <w:noProof/>
                <w:webHidden/>
              </w:rPr>
              <w:fldChar w:fldCharType="begin"/>
            </w:r>
            <w:r w:rsidR="00325B71">
              <w:rPr>
                <w:noProof/>
                <w:webHidden/>
              </w:rPr>
              <w:instrText xml:space="preserve"> PAGEREF _Toc157067016 \h </w:instrText>
            </w:r>
            <w:r w:rsidR="00325B71">
              <w:rPr>
                <w:noProof/>
                <w:webHidden/>
              </w:rPr>
            </w:r>
            <w:r w:rsidR="00325B71">
              <w:rPr>
                <w:noProof/>
                <w:webHidden/>
              </w:rPr>
              <w:fldChar w:fldCharType="separate"/>
            </w:r>
            <w:r w:rsidR="00F56281">
              <w:rPr>
                <w:noProof/>
                <w:webHidden/>
              </w:rPr>
              <w:t>14</w:t>
            </w:r>
            <w:r w:rsidR="00325B71">
              <w:rPr>
                <w:noProof/>
                <w:webHidden/>
              </w:rPr>
              <w:fldChar w:fldCharType="end"/>
            </w:r>
          </w:hyperlink>
        </w:p>
        <w:p w14:paraId="330D438B" w14:textId="2017AEAE" w:rsidR="00325B71" w:rsidRDefault="00000000">
          <w:pPr>
            <w:pStyle w:val="TOC3"/>
            <w:tabs>
              <w:tab w:val="left" w:pos="1100"/>
              <w:tab w:val="right" w:leader="dot" w:pos="9016"/>
            </w:tabs>
            <w:rPr>
              <w:rFonts w:eastAsiaTheme="minorEastAsia"/>
              <w:noProof/>
              <w:lang w:eastAsia="en-GB"/>
            </w:rPr>
          </w:pPr>
          <w:hyperlink w:anchor="_Toc157067017" w:history="1">
            <w:r w:rsidR="00325B71" w:rsidRPr="008C7E84">
              <w:rPr>
                <w:rStyle w:val="Hyperlink"/>
                <w:noProof/>
              </w:rPr>
              <w:t>7.2</w:t>
            </w:r>
            <w:r w:rsidR="00325B71">
              <w:rPr>
                <w:rFonts w:eastAsiaTheme="minorEastAsia"/>
                <w:noProof/>
                <w:lang w:eastAsia="en-GB"/>
              </w:rPr>
              <w:tab/>
            </w:r>
            <w:r w:rsidR="00325B71" w:rsidRPr="008C7E84">
              <w:rPr>
                <w:rStyle w:val="Hyperlink"/>
                <w:noProof/>
              </w:rPr>
              <w:t>Fundamental Standards:</w:t>
            </w:r>
            <w:r w:rsidR="00325B71">
              <w:rPr>
                <w:noProof/>
                <w:webHidden/>
              </w:rPr>
              <w:tab/>
            </w:r>
            <w:r w:rsidR="00325B71">
              <w:rPr>
                <w:noProof/>
                <w:webHidden/>
              </w:rPr>
              <w:fldChar w:fldCharType="begin"/>
            </w:r>
            <w:r w:rsidR="00325B71">
              <w:rPr>
                <w:noProof/>
                <w:webHidden/>
              </w:rPr>
              <w:instrText xml:space="preserve"> PAGEREF _Toc157067017 \h </w:instrText>
            </w:r>
            <w:r w:rsidR="00325B71">
              <w:rPr>
                <w:noProof/>
                <w:webHidden/>
              </w:rPr>
            </w:r>
            <w:r w:rsidR="00325B71">
              <w:rPr>
                <w:noProof/>
                <w:webHidden/>
              </w:rPr>
              <w:fldChar w:fldCharType="separate"/>
            </w:r>
            <w:r w:rsidR="00F56281">
              <w:rPr>
                <w:noProof/>
                <w:webHidden/>
              </w:rPr>
              <w:t>14</w:t>
            </w:r>
            <w:r w:rsidR="00325B71">
              <w:rPr>
                <w:noProof/>
                <w:webHidden/>
              </w:rPr>
              <w:fldChar w:fldCharType="end"/>
            </w:r>
          </w:hyperlink>
        </w:p>
        <w:p w14:paraId="1EE506FC" w14:textId="3D2135E8" w:rsidR="00325B71" w:rsidRDefault="00000000">
          <w:pPr>
            <w:pStyle w:val="TOC3"/>
            <w:tabs>
              <w:tab w:val="left" w:pos="1100"/>
              <w:tab w:val="right" w:leader="dot" w:pos="9016"/>
            </w:tabs>
            <w:rPr>
              <w:rFonts w:eastAsiaTheme="minorEastAsia"/>
              <w:noProof/>
              <w:lang w:eastAsia="en-GB"/>
            </w:rPr>
          </w:pPr>
          <w:hyperlink w:anchor="_Toc157067018" w:history="1">
            <w:r w:rsidR="00325B71" w:rsidRPr="008C7E84">
              <w:rPr>
                <w:rStyle w:val="Hyperlink"/>
                <w:noProof/>
              </w:rPr>
              <w:t>7.3</w:t>
            </w:r>
            <w:r w:rsidR="00325B71">
              <w:rPr>
                <w:rFonts w:eastAsiaTheme="minorEastAsia"/>
                <w:noProof/>
                <w:lang w:eastAsia="en-GB"/>
              </w:rPr>
              <w:tab/>
            </w:r>
            <w:r w:rsidR="00325B71" w:rsidRPr="008C7E84">
              <w:rPr>
                <w:rStyle w:val="Hyperlink"/>
                <w:noProof/>
              </w:rPr>
              <w:t>The Role of Commissioning Authorities:</w:t>
            </w:r>
            <w:r w:rsidR="00325B71">
              <w:rPr>
                <w:noProof/>
                <w:webHidden/>
              </w:rPr>
              <w:tab/>
            </w:r>
            <w:r w:rsidR="00325B71">
              <w:rPr>
                <w:noProof/>
                <w:webHidden/>
              </w:rPr>
              <w:fldChar w:fldCharType="begin"/>
            </w:r>
            <w:r w:rsidR="00325B71">
              <w:rPr>
                <w:noProof/>
                <w:webHidden/>
              </w:rPr>
              <w:instrText xml:space="preserve"> PAGEREF _Toc157067018 \h </w:instrText>
            </w:r>
            <w:r w:rsidR="00325B71">
              <w:rPr>
                <w:noProof/>
                <w:webHidden/>
              </w:rPr>
            </w:r>
            <w:r w:rsidR="00325B71">
              <w:rPr>
                <w:noProof/>
                <w:webHidden/>
              </w:rPr>
              <w:fldChar w:fldCharType="separate"/>
            </w:r>
            <w:r w:rsidR="00F56281">
              <w:rPr>
                <w:noProof/>
                <w:webHidden/>
              </w:rPr>
              <w:t>14</w:t>
            </w:r>
            <w:r w:rsidR="00325B71">
              <w:rPr>
                <w:noProof/>
                <w:webHidden/>
              </w:rPr>
              <w:fldChar w:fldCharType="end"/>
            </w:r>
          </w:hyperlink>
        </w:p>
        <w:p w14:paraId="5349C311" w14:textId="1B13D94A" w:rsidR="00325B71" w:rsidRDefault="00000000">
          <w:pPr>
            <w:pStyle w:val="TOC3"/>
            <w:tabs>
              <w:tab w:val="left" w:pos="1100"/>
              <w:tab w:val="right" w:leader="dot" w:pos="9016"/>
            </w:tabs>
            <w:rPr>
              <w:rFonts w:eastAsiaTheme="minorEastAsia"/>
              <w:noProof/>
              <w:lang w:eastAsia="en-GB"/>
            </w:rPr>
          </w:pPr>
          <w:hyperlink w:anchor="_Toc157067019" w:history="1">
            <w:r w:rsidR="00325B71" w:rsidRPr="008C7E84">
              <w:rPr>
                <w:rStyle w:val="Hyperlink"/>
                <w:noProof/>
              </w:rPr>
              <w:t>7.4</w:t>
            </w:r>
            <w:r w:rsidR="00325B71">
              <w:rPr>
                <w:rFonts w:eastAsiaTheme="minorEastAsia"/>
                <w:noProof/>
                <w:lang w:eastAsia="en-GB"/>
              </w:rPr>
              <w:tab/>
            </w:r>
            <w:r w:rsidR="00325B71" w:rsidRPr="008C7E84">
              <w:rPr>
                <w:rStyle w:val="Hyperlink"/>
                <w:noProof/>
              </w:rPr>
              <w:t>Health Partners:</w:t>
            </w:r>
            <w:r w:rsidR="00325B71">
              <w:rPr>
                <w:noProof/>
                <w:webHidden/>
              </w:rPr>
              <w:tab/>
            </w:r>
            <w:r w:rsidR="00325B71">
              <w:rPr>
                <w:noProof/>
                <w:webHidden/>
              </w:rPr>
              <w:fldChar w:fldCharType="begin"/>
            </w:r>
            <w:r w:rsidR="00325B71">
              <w:rPr>
                <w:noProof/>
                <w:webHidden/>
              </w:rPr>
              <w:instrText xml:space="preserve"> PAGEREF _Toc157067019 \h </w:instrText>
            </w:r>
            <w:r w:rsidR="00325B71">
              <w:rPr>
                <w:noProof/>
                <w:webHidden/>
              </w:rPr>
            </w:r>
            <w:r w:rsidR="00325B71">
              <w:rPr>
                <w:noProof/>
                <w:webHidden/>
              </w:rPr>
              <w:fldChar w:fldCharType="separate"/>
            </w:r>
            <w:r w:rsidR="00F56281">
              <w:rPr>
                <w:noProof/>
                <w:webHidden/>
              </w:rPr>
              <w:t>15</w:t>
            </w:r>
            <w:r w:rsidR="00325B71">
              <w:rPr>
                <w:noProof/>
                <w:webHidden/>
              </w:rPr>
              <w:fldChar w:fldCharType="end"/>
            </w:r>
          </w:hyperlink>
        </w:p>
        <w:p w14:paraId="4FCD54FE" w14:textId="4E1D6038" w:rsidR="00325B71" w:rsidRDefault="00000000">
          <w:pPr>
            <w:pStyle w:val="TOC3"/>
            <w:tabs>
              <w:tab w:val="left" w:pos="1100"/>
              <w:tab w:val="right" w:leader="dot" w:pos="9016"/>
            </w:tabs>
            <w:rPr>
              <w:rFonts w:eastAsiaTheme="minorEastAsia"/>
              <w:noProof/>
              <w:lang w:eastAsia="en-GB"/>
            </w:rPr>
          </w:pPr>
          <w:hyperlink w:anchor="_Toc157067020" w:history="1">
            <w:r w:rsidR="00325B71" w:rsidRPr="008C7E84">
              <w:rPr>
                <w:rStyle w:val="Hyperlink"/>
                <w:noProof/>
              </w:rPr>
              <w:t>7.5</w:t>
            </w:r>
            <w:r w:rsidR="00325B71">
              <w:rPr>
                <w:rFonts w:eastAsiaTheme="minorEastAsia"/>
                <w:noProof/>
                <w:lang w:eastAsia="en-GB"/>
              </w:rPr>
              <w:tab/>
            </w:r>
            <w:r w:rsidR="00325B71" w:rsidRPr="008C7E84">
              <w:rPr>
                <w:rStyle w:val="Hyperlink"/>
                <w:noProof/>
              </w:rPr>
              <w:t>Withdrawal of Contracted Service:</w:t>
            </w:r>
            <w:r w:rsidR="00325B71">
              <w:rPr>
                <w:noProof/>
                <w:webHidden/>
              </w:rPr>
              <w:tab/>
            </w:r>
            <w:r w:rsidR="00325B71">
              <w:rPr>
                <w:noProof/>
                <w:webHidden/>
              </w:rPr>
              <w:fldChar w:fldCharType="begin"/>
            </w:r>
            <w:r w:rsidR="00325B71">
              <w:rPr>
                <w:noProof/>
                <w:webHidden/>
              </w:rPr>
              <w:instrText xml:space="preserve"> PAGEREF _Toc157067020 \h </w:instrText>
            </w:r>
            <w:r w:rsidR="00325B71">
              <w:rPr>
                <w:noProof/>
                <w:webHidden/>
              </w:rPr>
            </w:r>
            <w:r w:rsidR="00325B71">
              <w:rPr>
                <w:noProof/>
                <w:webHidden/>
              </w:rPr>
              <w:fldChar w:fldCharType="separate"/>
            </w:r>
            <w:r w:rsidR="00F56281">
              <w:rPr>
                <w:noProof/>
                <w:webHidden/>
              </w:rPr>
              <w:t>16</w:t>
            </w:r>
            <w:r w:rsidR="00325B71">
              <w:rPr>
                <w:noProof/>
                <w:webHidden/>
              </w:rPr>
              <w:fldChar w:fldCharType="end"/>
            </w:r>
          </w:hyperlink>
        </w:p>
        <w:p w14:paraId="13426ABE" w14:textId="3EEF973D" w:rsidR="00325B71" w:rsidRDefault="00000000">
          <w:pPr>
            <w:pStyle w:val="TOC2"/>
            <w:tabs>
              <w:tab w:val="left" w:pos="660"/>
              <w:tab w:val="right" w:leader="dot" w:pos="9016"/>
            </w:tabs>
            <w:rPr>
              <w:rFonts w:eastAsiaTheme="minorEastAsia"/>
              <w:noProof/>
              <w:lang w:eastAsia="en-GB"/>
            </w:rPr>
          </w:pPr>
          <w:hyperlink w:anchor="_Toc157067021" w:history="1">
            <w:r w:rsidR="00325B71" w:rsidRPr="008C7E84">
              <w:rPr>
                <w:rStyle w:val="Hyperlink"/>
                <w:noProof/>
              </w:rPr>
              <w:t>8.</w:t>
            </w:r>
            <w:r w:rsidR="00325B71">
              <w:rPr>
                <w:rFonts w:eastAsiaTheme="minorEastAsia"/>
                <w:noProof/>
                <w:lang w:eastAsia="en-GB"/>
              </w:rPr>
              <w:tab/>
            </w:r>
            <w:r w:rsidR="00325B71" w:rsidRPr="008C7E84">
              <w:rPr>
                <w:rStyle w:val="Hyperlink"/>
                <w:noProof/>
              </w:rPr>
              <w:t>Ongoing Support for Victims, Family and Witnesses:</w:t>
            </w:r>
            <w:r w:rsidR="00325B71">
              <w:rPr>
                <w:noProof/>
                <w:webHidden/>
              </w:rPr>
              <w:tab/>
            </w:r>
            <w:r w:rsidR="00325B71">
              <w:rPr>
                <w:noProof/>
                <w:webHidden/>
              </w:rPr>
              <w:fldChar w:fldCharType="begin"/>
            </w:r>
            <w:r w:rsidR="00325B71">
              <w:rPr>
                <w:noProof/>
                <w:webHidden/>
              </w:rPr>
              <w:instrText xml:space="preserve"> PAGEREF _Toc157067021 \h </w:instrText>
            </w:r>
            <w:r w:rsidR="00325B71">
              <w:rPr>
                <w:noProof/>
                <w:webHidden/>
              </w:rPr>
            </w:r>
            <w:r w:rsidR="00325B71">
              <w:rPr>
                <w:noProof/>
                <w:webHidden/>
              </w:rPr>
              <w:fldChar w:fldCharType="separate"/>
            </w:r>
            <w:r w:rsidR="00F56281">
              <w:rPr>
                <w:noProof/>
                <w:webHidden/>
              </w:rPr>
              <w:t>17</w:t>
            </w:r>
            <w:r w:rsidR="00325B71">
              <w:rPr>
                <w:noProof/>
                <w:webHidden/>
              </w:rPr>
              <w:fldChar w:fldCharType="end"/>
            </w:r>
          </w:hyperlink>
        </w:p>
        <w:p w14:paraId="7605C606" w14:textId="280C6C91" w:rsidR="00325B71" w:rsidRDefault="00000000">
          <w:pPr>
            <w:pStyle w:val="TOC3"/>
            <w:tabs>
              <w:tab w:val="left" w:pos="1100"/>
              <w:tab w:val="right" w:leader="dot" w:pos="9016"/>
            </w:tabs>
            <w:rPr>
              <w:rFonts w:eastAsiaTheme="minorEastAsia"/>
              <w:noProof/>
              <w:lang w:eastAsia="en-GB"/>
            </w:rPr>
          </w:pPr>
          <w:hyperlink w:anchor="_Toc157067022" w:history="1">
            <w:r w:rsidR="00325B71" w:rsidRPr="008C7E84">
              <w:rPr>
                <w:rStyle w:val="Hyperlink"/>
                <w:noProof/>
              </w:rPr>
              <w:t>8.1</w:t>
            </w:r>
            <w:r w:rsidR="00325B71">
              <w:rPr>
                <w:rFonts w:eastAsiaTheme="minorEastAsia"/>
                <w:noProof/>
                <w:lang w:eastAsia="en-GB"/>
              </w:rPr>
              <w:tab/>
            </w:r>
            <w:r w:rsidR="00325B71" w:rsidRPr="008C7E84">
              <w:rPr>
                <w:rStyle w:val="Hyperlink"/>
                <w:noProof/>
              </w:rPr>
              <w:t>Staff Support:</w:t>
            </w:r>
            <w:r w:rsidR="00325B71">
              <w:rPr>
                <w:noProof/>
                <w:webHidden/>
              </w:rPr>
              <w:tab/>
            </w:r>
            <w:r w:rsidR="00325B71">
              <w:rPr>
                <w:noProof/>
                <w:webHidden/>
              </w:rPr>
              <w:fldChar w:fldCharType="begin"/>
            </w:r>
            <w:r w:rsidR="00325B71">
              <w:rPr>
                <w:noProof/>
                <w:webHidden/>
              </w:rPr>
              <w:instrText xml:space="preserve"> PAGEREF _Toc157067022 \h </w:instrText>
            </w:r>
            <w:r w:rsidR="00325B71">
              <w:rPr>
                <w:noProof/>
                <w:webHidden/>
              </w:rPr>
            </w:r>
            <w:r w:rsidR="00325B71">
              <w:rPr>
                <w:noProof/>
                <w:webHidden/>
              </w:rPr>
              <w:fldChar w:fldCharType="separate"/>
            </w:r>
            <w:r w:rsidR="00F56281">
              <w:rPr>
                <w:noProof/>
                <w:webHidden/>
              </w:rPr>
              <w:t>17</w:t>
            </w:r>
            <w:r w:rsidR="00325B71">
              <w:rPr>
                <w:noProof/>
                <w:webHidden/>
              </w:rPr>
              <w:fldChar w:fldCharType="end"/>
            </w:r>
          </w:hyperlink>
        </w:p>
        <w:p w14:paraId="568ACD90" w14:textId="470EAD31" w:rsidR="00325B71" w:rsidRDefault="00000000">
          <w:pPr>
            <w:pStyle w:val="TOC3"/>
            <w:tabs>
              <w:tab w:val="left" w:pos="1100"/>
              <w:tab w:val="right" w:leader="dot" w:pos="9016"/>
            </w:tabs>
            <w:rPr>
              <w:rFonts w:eastAsiaTheme="minorEastAsia"/>
              <w:noProof/>
              <w:lang w:eastAsia="en-GB"/>
            </w:rPr>
          </w:pPr>
          <w:hyperlink w:anchor="_Toc157067023" w:history="1">
            <w:r w:rsidR="00325B71" w:rsidRPr="008C7E84">
              <w:rPr>
                <w:rStyle w:val="Hyperlink"/>
                <w:noProof/>
              </w:rPr>
              <w:t>8.2</w:t>
            </w:r>
            <w:r w:rsidR="00325B71">
              <w:rPr>
                <w:rFonts w:eastAsiaTheme="minorEastAsia"/>
                <w:noProof/>
                <w:lang w:eastAsia="en-GB"/>
              </w:rPr>
              <w:tab/>
            </w:r>
            <w:r w:rsidR="00325B71" w:rsidRPr="008C7E84">
              <w:rPr>
                <w:rStyle w:val="Hyperlink"/>
                <w:noProof/>
              </w:rPr>
              <w:t>Person(s) Alleged to have Caused Harm</w:t>
            </w:r>
            <w:r w:rsidR="00325B71">
              <w:rPr>
                <w:noProof/>
                <w:webHidden/>
              </w:rPr>
              <w:tab/>
            </w:r>
            <w:r w:rsidR="00325B71">
              <w:rPr>
                <w:noProof/>
                <w:webHidden/>
              </w:rPr>
              <w:fldChar w:fldCharType="begin"/>
            </w:r>
            <w:r w:rsidR="00325B71">
              <w:rPr>
                <w:noProof/>
                <w:webHidden/>
              </w:rPr>
              <w:instrText xml:space="preserve"> PAGEREF _Toc157067023 \h </w:instrText>
            </w:r>
            <w:r w:rsidR="00325B71">
              <w:rPr>
                <w:noProof/>
                <w:webHidden/>
              </w:rPr>
            </w:r>
            <w:r w:rsidR="00325B71">
              <w:rPr>
                <w:noProof/>
                <w:webHidden/>
              </w:rPr>
              <w:fldChar w:fldCharType="separate"/>
            </w:r>
            <w:r w:rsidR="00F56281">
              <w:rPr>
                <w:noProof/>
                <w:webHidden/>
              </w:rPr>
              <w:t>17</w:t>
            </w:r>
            <w:r w:rsidR="00325B71">
              <w:rPr>
                <w:noProof/>
                <w:webHidden/>
              </w:rPr>
              <w:fldChar w:fldCharType="end"/>
            </w:r>
          </w:hyperlink>
        </w:p>
        <w:p w14:paraId="25FCF10B" w14:textId="214E264A" w:rsidR="00325B71" w:rsidRDefault="00000000">
          <w:pPr>
            <w:pStyle w:val="TOC3"/>
            <w:tabs>
              <w:tab w:val="left" w:pos="1100"/>
              <w:tab w:val="right" w:leader="dot" w:pos="9016"/>
            </w:tabs>
            <w:rPr>
              <w:rFonts w:eastAsiaTheme="minorEastAsia"/>
              <w:noProof/>
              <w:lang w:eastAsia="en-GB"/>
            </w:rPr>
          </w:pPr>
          <w:hyperlink w:anchor="_Toc157067024" w:history="1">
            <w:r w:rsidR="00325B71" w:rsidRPr="008C7E84">
              <w:rPr>
                <w:rStyle w:val="Hyperlink"/>
                <w:noProof/>
              </w:rPr>
              <w:t>8.3</w:t>
            </w:r>
            <w:r w:rsidR="00325B71">
              <w:rPr>
                <w:rFonts w:eastAsiaTheme="minorEastAsia"/>
                <w:noProof/>
                <w:lang w:eastAsia="en-GB"/>
              </w:rPr>
              <w:tab/>
            </w:r>
            <w:r w:rsidR="00325B71" w:rsidRPr="008C7E84">
              <w:rPr>
                <w:rStyle w:val="Hyperlink"/>
                <w:noProof/>
              </w:rPr>
              <w:t>Referrer/ Whistle-blower:</w:t>
            </w:r>
            <w:r w:rsidR="00325B71">
              <w:rPr>
                <w:noProof/>
                <w:webHidden/>
              </w:rPr>
              <w:tab/>
            </w:r>
            <w:r w:rsidR="00325B71">
              <w:rPr>
                <w:noProof/>
                <w:webHidden/>
              </w:rPr>
              <w:fldChar w:fldCharType="begin"/>
            </w:r>
            <w:r w:rsidR="00325B71">
              <w:rPr>
                <w:noProof/>
                <w:webHidden/>
              </w:rPr>
              <w:instrText xml:space="preserve"> PAGEREF _Toc157067024 \h </w:instrText>
            </w:r>
            <w:r w:rsidR="00325B71">
              <w:rPr>
                <w:noProof/>
                <w:webHidden/>
              </w:rPr>
            </w:r>
            <w:r w:rsidR="00325B71">
              <w:rPr>
                <w:noProof/>
                <w:webHidden/>
              </w:rPr>
              <w:fldChar w:fldCharType="separate"/>
            </w:r>
            <w:r w:rsidR="00F56281">
              <w:rPr>
                <w:noProof/>
                <w:webHidden/>
              </w:rPr>
              <w:t>17</w:t>
            </w:r>
            <w:r w:rsidR="00325B71">
              <w:rPr>
                <w:noProof/>
                <w:webHidden/>
              </w:rPr>
              <w:fldChar w:fldCharType="end"/>
            </w:r>
          </w:hyperlink>
        </w:p>
        <w:p w14:paraId="73B803C4" w14:textId="31916024" w:rsidR="00325B71" w:rsidRDefault="00000000">
          <w:pPr>
            <w:pStyle w:val="TOC2"/>
            <w:tabs>
              <w:tab w:val="left" w:pos="660"/>
              <w:tab w:val="right" w:leader="dot" w:pos="9016"/>
            </w:tabs>
            <w:rPr>
              <w:rFonts w:eastAsiaTheme="minorEastAsia"/>
              <w:noProof/>
              <w:lang w:eastAsia="en-GB"/>
            </w:rPr>
          </w:pPr>
          <w:hyperlink w:anchor="_Toc157067025" w:history="1">
            <w:r w:rsidR="00325B71" w:rsidRPr="008C7E84">
              <w:rPr>
                <w:rStyle w:val="Hyperlink"/>
                <w:noProof/>
              </w:rPr>
              <w:t>9.</w:t>
            </w:r>
            <w:r w:rsidR="00325B71">
              <w:rPr>
                <w:rFonts w:eastAsiaTheme="minorEastAsia"/>
                <w:noProof/>
                <w:lang w:eastAsia="en-GB"/>
              </w:rPr>
              <w:tab/>
            </w:r>
            <w:r w:rsidR="00325B71" w:rsidRPr="008C7E84">
              <w:rPr>
                <w:rStyle w:val="Hyperlink"/>
                <w:noProof/>
              </w:rPr>
              <w:t>Debrief and Learning</w:t>
            </w:r>
            <w:r w:rsidR="00325B71">
              <w:rPr>
                <w:noProof/>
                <w:webHidden/>
              </w:rPr>
              <w:tab/>
            </w:r>
            <w:r w:rsidR="00325B71">
              <w:rPr>
                <w:noProof/>
                <w:webHidden/>
              </w:rPr>
              <w:fldChar w:fldCharType="begin"/>
            </w:r>
            <w:r w:rsidR="00325B71">
              <w:rPr>
                <w:noProof/>
                <w:webHidden/>
              </w:rPr>
              <w:instrText xml:space="preserve"> PAGEREF _Toc157067025 \h </w:instrText>
            </w:r>
            <w:r w:rsidR="00325B71">
              <w:rPr>
                <w:noProof/>
                <w:webHidden/>
              </w:rPr>
            </w:r>
            <w:r w:rsidR="00325B71">
              <w:rPr>
                <w:noProof/>
                <w:webHidden/>
              </w:rPr>
              <w:fldChar w:fldCharType="separate"/>
            </w:r>
            <w:r w:rsidR="00F56281">
              <w:rPr>
                <w:noProof/>
                <w:webHidden/>
              </w:rPr>
              <w:t>17</w:t>
            </w:r>
            <w:r w:rsidR="00325B71">
              <w:rPr>
                <w:noProof/>
                <w:webHidden/>
              </w:rPr>
              <w:fldChar w:fldCharType="end"/>
            </w:r>
          </w:hyperlink>
        </w:p>
        <w:p w14:paraId="75756F0F" w14:textId="031A854B" w:rsidR="00325B71" w:rsidRDefault="00000000">
          <w:pPr>
            <w:pStyle w:val="TOC2"/>
            <w:tabs>
              <w:tab w:val="right" w:leader="dot" w:pos="9016"/>
            </w:tabs>
            <w:rPr>
              <w:rFonts w:eastAsiaTheme="minorEastAsia"/>
              <w:noProof/>
              <w:lang w:eastAsia="en-GB"/>
            </w:rPr>
          </w:pPr>
          <w:hyperlink w:anchor="_Toc157067026" w:history="1">
            <w:r w:rsidR="00325B71" w:rsidRPr="008C7E84">
              <w:rPr>
                <w:rStyle w:val="Hyperlink"/>
                <w:noProof/>
              </w:rPr>
              <w:t>Appendix 1:  High-Level Flowchart and Contact Details:</w:t>
            </w:r>
            <w:r w:rsidR="00325B71">
              <w:rPr>
                <w:noProof/>
                <w:webHidden/>
              </w:rPr>
              <w:tab/>
            </w:r>
            <w:r w:rsidR="00325B71">
              <w:rPr>
                <w:noProof/>
                <w:webHidden/>
              </w:rPr>
              <w:fldChar w:fldCharType="begin"/>
            </w:r>
            <w:r w:rsidR="00325B71">
              <w:rPr>
                <w:noProof/>
                <w:webHidden/>
              </w:rPr>
              <w:instrText xml:space="preserve"> PAGEREF _Toc157067026 \h </w:instrText>
            </w:r>
            <w:r w:rsidR="00325B71">
              <w:rPr>
                <w:noProof/>
                <w:webHidden/>
              </w:rPr>
            </w:r>
            <w:r w:rsidR="00325B71">
              <w:rPr>
                <w:noProof/>
                <w:webHidden/>
              </w:rPr>
              <w:fldChar w:fldCharType="separate"/>
            </w:r>
            <w:r w:rsidR="00F56281">
              <w:rPr>
                <w:noProof/>
                <w:webHidden/>
              </w:rPr>
              <w:t>18</w:t>
            </w:r>
            <w:r w:rsidR="00325B71">
              <w:rPr>
                <w:noProof/>
                <w:webHidden/>
              </w:rPr>
              <w:fldChar w:fldCharType="end"/>
            </w:r>
          </w:hyperlink>
        </w:p>
        <w:p w14:paraId="35329234" w14:textId="3C6A8B51" w:rsidR="00325B71" w:rsidRDefault="00000000">
          <w:pPr>
            <w:pStyle w:val="TOC2"/>
            <w:tabs>
              <w:tab w:val="right" w:leader="dot" w:pos="9016"/>
            </w:tabs>
            <w:rPr>
              <w:rFonts w:eastAsiaTheme="minorEastAsia"/>
              <w:noProof/>
              <w:lang w:eastAsia="en-GB"/>
            </w:rPr>
          </w:pPr>
          <w:hyperlink w:anchor="_Toc157067027" w:history="1">
            <w:r w:rsidR="00325B71" w:rsidRPr="008C7E84">
              <w:rPr>
                <w:rStyle w:val="Hyperlink"/>
                <w:noProof/>
              </w:rPr>
              <w:t>Appendix 2 – Multi-Agency LSE Safeguarding Meeting (MASM) Suggested Agenda:</w:t>
            </w:r>
            <w:r w:rsidR="00325B71">
              <w:rPr>
                <w:noProof/>
                <w:webHidden/>
              </w:rPr>
              <w:tab/>
            </w:r>
            <w:r w:rsidR="00325B71">
              <w:rPr>
                <w:noProof/>
                <w:webHidden/>
              </w:rPr>
              <w:fldChar w:fldCharType="begin"/>
            </w:r>
            <w:r w:rsidR="00325B71">
              <w:rPr>
                <w:noProof/>
                <w:webHidden/>
              </w:rPr>
              <w:instrText xml:space="preserve"> PAGEREF _Toc157067027 \h </w:instrText>
            </w:r>
            <w:r w:rsidR="00325B71">
              <w:rPr>
                <w:noProof/>
                <w:webHidden/>
              </w:rPr>
            </w:r>
            <w:r w:rsidR="00325B71">
              <w:rPr>
                <w:noProof/>
                <w:webHidden/>
              </w:rPr>
              <w:fldChar w:fldCharType="separate"/>
            </w:r>
            <w:r w:rsidR="00F56281">
              <w:rPr>
                <w:noProof/>
                <w:webHidden/>
              </w:rPr>
              <w:t>19</w:t>
            </w:r>
            <w:r w:rsidR="00325B71">
              <w:rPr>
                <w:noProof/>
                <w:webHidden/>
              </w:rPr>
              <w:fldChar w:fldCharType="end"/>
            </w:r>
          </w:hyperlink>
        </w:p>
        <w:p w14:paraId="701FA330" w14:textId="761EACF3" w:rsidR="00325B71" w:rsidRDefault="00000000">
          <w:pPr>
            <w:pStyle w:val="TOC2"/>
            <w:tabs>
              <w:tab w:val="right" w:leader="dot" w:pos="9016"/>
            </w:tabs>
            <w:rPr>
              <w:rFonts w:eastAsiaTheme="minorEastAsia"/>
              <w:noProof/>
              <w:lang w:eastAsia="en-GB"/>
            </w:rPr>
          </w:pPr>
          <w:hyperlink w:anchor="_Toc157067028" w:history="1">
            <w:r w:rsidR="00325B71" w:rsidRPr="008C7E84">
              <w:rPr>
                <w:rStyle w:val="Hyperlink"/>
                <w:noProof/>
              </w:rPr>
              <w:t>Appendix 3 – LSE Multi-Agency Safeguarding Meeting (MASM) Checklist:</w:t>
            </w:r>
            <w:r w:rsidR="00325B71">
              <w:rPr>
                <w:noProof/>
                <w:webHidden/>
              </w:rPr>
              <w:tab/>
            </w:r>
            <w:r w:rsidR="00325B71">
              <w:rPr>
                <w:noProof/>
                <w:webHidden/>
              </w:rPr>
              <w:fldChar w:fldCharType="begin"/>
            </w:r>
            <w:r w:rsidR="00325B71">
              <w:rPr>
                <w:noProof/>
                <w:webHidden/>
              </w:rPr>
              <w:instrText xml:space="preserve"> PAGEREF _Toc157067028 \h </w:instrText>
            </w:r>
            <w:r w:rsidR="00325B71">
              <w:rPr>
                <w:noProof/>
                <w:webHidden/>
              </w:rPr>
            </w:r>
            <w:r w:rsidR="00325B71">
              <w:rPr>
                <w:noProof/>
                <w:webHidden/>
              </w:rPr>
              <w:fldChar w:fldCharType="separate"/>
            </w:r>
            <w:r w:rsidR="00F56281">
              <w:rPr>
                <w:noProof/>
                <w:webHidden/>
              </w:rPr>
              <w:t>21</w:t>
            </w:r>
            <w:r w:rsidR="00325B71">
              <w:rPr>
                <w:noProof/>
                <w:webHidden/>
              </w:rPr>
              <w:fldChar w:fldCharType="end"/>
            </w:r>
          </w:hyperlink>
        </w:p>
        <w:p w14:paraId="08C46186" w14:textId="07C33B2A" w:rsidR="00325B71" w:rsidRDefault="00000000">
          <w:pPr>
            <w:pStyle w:val="TOC2"/>
            <w:tabs>
              <w:tab w:val="right" w:leader="dot" w:pos="9016"/>
            </w:tabs>
            <w:rPr>
              <w:rFonts w:eastAsiaTheme="minorEastAsia"/>
              <w:noProof/>
              <w:lang w:eastAsia="en-GB"/>
            </w:rPr>
          </w:pPr>
          <w:hyperlink w:anchor="_Toc157067029" w:history="1">
            <w:r w:rsidR="00325B71" w:rsidRPr="008C7E84">
              <w:rPr>
                <w:rStyle w:val="Hyperlink"/>
                <w:noProof/>
              </w:rPr>
              <w:t>Appendix 4: Letter to Relative</w:t>
            </w:r>
            <w:r w:rsidR="00325B71">
              <w:rPr>
                <w:noProof/>
                <w:webHidden/>
              </w:rPr>
              <w:tab/>
            </w:r>
            <w:r w:rsidR="00325B71">
              <w:rPr>
                <w:noProof/>
                <w:webHidden/>
              </w:rPr>
              <w:fldChar w:fldCharType="begin"/>
            </w:r>
            <w:r w:rsidR="00325B71">
              <w:rPr>
                <w:noProof/>
                <w:webHidden/>
              </w:rPr>
              <w:instrText xml:space="preserve"> PAGEREF _Toc157067029 \h </w:instrText>
            </w:r>
            <w:r w:rsidR="00325B71">
              <w:rPr>
                <w:noProof/>
                <w:webHidden/>
              </w:rPr>
            </w:r>
            <w:r w:rsidR="00325B71">
              <w:rPr>
                <w:noProof/>
                <w:webHidden/>
              </w:rPr>
              <w:fldChar w:fldCharType="separate"/>
            </w:r>
            <w:r w:rsidR="00F56281">
              <w:rPr>
                <w:noProof/>
                <w:webHidden/>
              </w:rPr>
              <w:t>22</w:t>
            </w:r>
            <w:r w:rsidR="00325B71">
              <w:rPr>
                <w:noProof/>
                <w:webHidden/>
              </w:rPr>
              <w:fldChar w:fldCharType="end"/>
            </w:r>
          </w:hyperlink>
        </w:p>
        <w:p w14:paraId="70DE1989" w14:textId="0070CFEF" w:rsidR="00325B71" w:rsidRDefault="00000000">
          <w:pPr>
            <w:pStyle w:val="TOC2"/>
            <w:tabs>
              <w:tab w:val="right" w:leader="dot" w:pos="9016"/>
            </w:tabs>
            <w:rPr>
              <w:rFonts w:eastAsiaTheme="minorEastAsia"/>
              <w:noProof/>
              <w:lang w:eastAsia="en-GB"/>
            </w:rPr>
          </w:pPr>
          <w:hyperlink w:anchor="_Toc157067030" w:history="1">
            <w:r w:rsidR="00325B71" w:rsidRPr="008C7E84">
              <w:rPr>
                <w:rStyle w:val="Hyperlink"/>
                <w:noProof/>
              </w:rPr>
              <w:t>Appendix 5: Letter of Notification to Placing Authority</w:t>
            </w:r>
            <w:r w:rsidR="00325B71">
              <w:rPr>
                <w:noProof/>
                <w:webHidden/>
              </w:rPr>
              <w:tab/>
            </w:r>
            <w:r w:rsidR="00325B71">
              <w:rPr>
                <w:noProof/>
                <w:webHidden/>
              </w:rPr>
              <w:fldChar w:fldCharType="begin"/>
            </w:r>
            <w:r w:rsidR="00325B71">
              <w:rPr>
                <w:noProof/>
                <w:webHidden/>
              </w:rPr>
              <w:instrText xml:space="preserve"> PAGEREF _Toc157067030 \h </w:instrText>
            </w:r>
            <w:r w:rsidR="00325B71">
              <w:rPr>
                <w:noProof/>
                <w:webHidden/>
              </w:rPr>
            </w:r>
            <w:r w:rsidR="00325B71">
              <w:rPr>
                <w:noProof/>
                <w:webHidden/>
              </w:rPr>
              <w:fldChar w:fldCharType="separate"/>
            </w:r>
            <w:r w:rsidR="00F56281">
              <w:rPr>
                <w:noProof/>
                <w:webHidden/>
              </w:rPr>
              <w:t>23</w:t>
            </w:r>
            <w:r w:rsidR="00325B71">
              <w:rPr>
                <w:noProof/>
                <w:webHidden/>
              </w:rPr>
              <w:fldChar w:fldCharType="end"/>
            </w:r>
          </w:hyperlink>
        </w:p>
        <w:p w14:paraId="13867E08" w14:textId="401AC924" w:rsidR="00325B71" w:rsidRDefault="00000000">
          <w:pPr>
            <w:pStyle w:val="TOC2"/>
            <w:tabs>
              <w:tab w:val="right" w:leader="dot" w:pos="9016"/>
            </w:tabs>
            <w:rPr>
              <w:rFonts w:eastAsiaTheme="minorEastAsia"/>
              <w:noProof/>
              <w:lang w:eastAsia="en-GB"/>
            </w:rPr>
          </w:pPr>
          <w:hyperlink w:anchor="_Toc157067031" w:history="1">
            <w:r w:rsidR="00325B71" w:rsidRPr="008C7E84">
              <w:rPr>
                <w:rStyle w:val="Hyperlink"/>
                <w:noProof/>
              </w:rPr>
              <w:t>Appendix 6 – Escalation Process</w:t>
            </w:r>
            <w:r w:rsidR="00325B71">
              <w:rPr>
                <w:noProof/>
                <w:webHidden/>
              </w:rPr>
              <w:tab/>
            </w:r>
            <w:r w:rsidR="00325B71">
              <w:rPr>
                <w:noProof/>
                <w:webHidden/>
              </w:rPr>
              <w:fldChar w:fldCharType="begin"/>
            </w:r>
            <w:r w:rsidR="00325B71">
              <w:rPr>
                <w:noProof/>
                <w:webHidden/>
              </w:rPr>
              <w:instrText xml:space="preserve"> PAGEREF _Toc157067031 \h </w:instrText>
            </w:r>
            <w:r w:rsidR="00325B71">
              <w:rPr>
                <w:noProof/>
                <w:webHidden/>
              </w:rPr>
            </w:r>
            <w:r w:rsidR="00325B71">
              <w:rPr>
                <w:noProof/>
                <w:webHidden/>
              </w:rPr>
              <w:fldChar w:fldCharType="separate"/>
            </w:r>
            <w:r w:rsidR="00F56281">
              <w:rPr>
                <w:noProof/>
                <w:webHidden/>
              </w:rPr>
              <w:t>24</w:t>
            </w:r>
            <w:r w:rsidR="00325B71">
              <w:rPr>
                <w:noProof/>
                <w:webHidden/>
              </w:rPr>
              <w:fldChar w:fldCharType="end"/>
            </w:r>
          </w:hyperlink>
        </w:p>
        <w:p w14:paraId="299DA3B1" w14:textId="366D504B" w:rsidR="00325B71" w:rsidRDefault="00000000">
          <w:pPr>
            <w:pStyle w:val="TOC2"/>
            <w:tabs>
              <w:tab w:val="right" w:leader="dot" w:pos="9016"/>
            </w:tabs>
            <w:rPr>
              <w:rFonts w:eastAsiaTheme="minorEastAsia"/>
              <w:noProof/>
              <w:lang w:eastAsia="en-GB"/>
            </w:rPr>
          </w:pPr>
          <w:hyperlink w:anchor="_Toc157067032" w:history="1">
            <w:r w:rsidR="00325B71" w:rsidRPr="008C7E84">
              <w:rPr>
                <w:rStyle w:val="Hyperlink"/>
                <w:noProof/>
              </w:rPr>
              <w:t xml:space="preserve">Appendix 7: </w:t>
            </w:r>
            <w:r w:rsidR="00325B71" w:rsidRPr="008C7E84">
              <w:rPr>
                <w:rStyle w:val="Hyperlink"/>
                <w:bCs/>
                <w:noProof/>
              </w:rPr>
              <w:t>Large Scale Enquiry Risk Analysis</w:t>
            </w:r>
            <w:r w:rsidR="00325B71">
              <w:rPr>
                <w:noProof/>
                <w:webHidden/>
              </w:rPr>
              <w:tab/>
            </w:r>
            <w:r w:rsidR="00325B71">
              <w:rPr>
                <w:noProof/>
                <w:webHidden/>
              </w:rPr>
              <w:fldChar w:fldCharType="begin"/>
            </w:r>
            <w:r w:rsidR="00325B71">
              <w:rPr>
                <w:noProof/>
                <w:webHidden/>
              </w:rPr>
              <w:instrText xml:space="preserve"> PAGEREF _Toc157067032 \h </w:instrText>
            </w:r>
            <w:r w:rsidR="00325B71">
              <w:rPr>
                <w:noProof/>
                <w:webHidden/>
              </w:rPr>
            </w:r>
            <w:r w:rsidR="00325B71">
              <w:rPr>
                <w:noProof/>
                <w:webHidden/>
              </w:rPr>
              <w:fldChar w:fldCharType="separate"/>
            </w:r>
            <w:r w:rsidR="00F56281">
              <w:rPr>
                <w:noProof/>
                <w:webHidden/>
              </w:rPr>
              <w:t>26</w:t>
            </w:r>
            <w:r w:rsidR="00325B71">
              <w:rPr>
                <w:noProof/>
                <w:webHidden/>
              </w:rPr>
              <w:fldChar w:fldCharType="end"/>
            </w:r>
          </w:hyperlink>
        </w:p>
        <w:p w14:paraId="1F9D8C47" w14:textId="23CE234F" w:rsidR="00325B71" w:rsidRDefault="00000000">
          <w:pPr>
            <w:pStyle w:val="TOC2"/>
            <w:tabs>
              <w:tab w:val="right" w:leader="dot" w:pos="9016"/>
            </w:tabs>
            <w:rPr>
              <w:rFonts w:eastAsiaTheme="minorEastAsia"/>
              <w:noProof/>
              <w:lang w:eastAsia="en-GB"/>
            </w:rPr>
          </w:pPr>
          <w:hyperlink w:anchor="_Toc157067033" w:history="1">
            <w:r w:rsidR="00325B71" w:rsidRPr="008C7E84">
              <w:rPr>
                <w:rStyle w:val="Hyperlink"/>
                <w:noProof/>
              </w:rPr>
              <w:t>Appendix 8: Home Closure Checklist</w:t>
            </w:r>
            <w:r w:rsidR="00325B71">
              <w:rPr>
                <w:noProof/>
                <w:webHidden/>
              </w:rPr>
              <w:tab/>
            </w:r>
            <w:r w:rsidR="00325B71">
              <w:rPr>
                <w:noProof/>
                <w:webHidden/>
              </w:rPr>
              <w:fldChar w:fldCharType="begin"/>
            </w:r>
            <w:r w:rsidR="00325B71">
              <w:rPr>
                <w:noProof/>
                <w:webHidden/>
              </w:rPr>
              <w:instrText xml:space="preserve"> PAGEREF _Toc157067033 \h </w:instrText>
            </w:r>
            <w:r w:rsidR="00325B71">
              <w:rPr>
                <w:noProof/>
                <w:webHidden/>
              </w:rPr>
            </w:r>
            <w:r w:rsidR="00325B71">
              <w:rPr>
                <w:noProof/>
                <w:webHidden/>
              </w:rPr>
              <w:fldChar w:fldCharType="separate"/>
            </w:r>
            <w:r w:rsidR="00F56281">
              <w:rPr>
                <w:noProof/>
                <w:webHidden/>
              </w:rPr>
              <w:t>26</w:t>
            </w:r>
            <w:r w:rsidR="00325B71">
              <w:rPr>
                <w:noProof/>
                <w:webHidden/>
              </w:rPr>
              <w:fldChar w:fldCharType="end"/>
            </w:r>
          </w:hyperlink>
        </w:p>
        <w:p w14:paraId="7A1B4480" w14:textId="01D6A544" w:rsidR="00325B71" w:rsidRDefault="00000000">
          <w:pPr>
            <w:pStyle w:val="TOC2"/>
            <w:tabs>
              <w:tab w:val="right" w:leader="dot" w:pos="9016"/>
            </w:tabs>
            <w:rPr>
              <w:rFonts w:eastAsiaTheme="minorEastAsia"/>
              <w:noProof/>
              <w:lang w:eastAsia="en-GB"/>
            </w:rPr>
          </w:pPr>
          <w:hyperlink w:anchor="_Toc157067034" w:history="1">
            <w:r w:rsidR="00325B71" w:rsidRPr="008C7E84">
              <w:rPr>
                <w:rStyle w:val="Hyperlink"/>
                <w:noProof/>
              </w:rPr>
              <w:t>Appendix 9: Multi-agency LSE Debrief and Learning meeting format.</w:t>
            </w:r>
            <w:r w:rsidR="00325B71">
              <w:rPr>
                <w:noProof/>
                <w:webHidden/>
              </w:rPr>
              <w:tab/>
            </w:r>
            <w:r w:rsidR="00325B71">
              <w:rPr>
                <w:noProof/>
                <w:webHidden/>
              </w:rPr>
              <w:fldChar w:fldCharType="begin"/>
            </w:r>
            <w:r w:rsidR="00325B71">
              <w:rPr>
                <w:noProof/>
                <w:webHidden/>
              </w:rPr>
              <w:instrText xml:space="preserve"> PAGEREF _Toc157067034 \h </w:instrText>
            </w:r>
            <w:r w:rsidR="00325B71">
              <w:rPr>
                <w:noProof/>
                <w:webHidden/>
              </w:rPr>
            </w:r>
            <w:r w:rsidR="00325B71">
              <w:rPr>
                <w:noProof/>
                <w:webHidden/>
              </w:rPr>
              <w:fldChar w:fldCharType="separate"/>
            </w:r>
            <w:r w:rsidR="00F56281">
              <w:rPr>
                <w:noProof/>
                <w:webHidden/>
              </w:rPr>
              <w:t>27</w:t>
            </w:r>
            <w:r w:rsidR="00325B71">
              <w:rPr>
                <w:noProof/>
                <w:webHidden/>
              </w:rPr>
              <w:fldChar w:fldCharType="end"/>
            </w:r>
          </w:hyperlink>
        </w:p>
        <w:p w14:paraId="74364AE9" w14:textId="651B0344" w:rsidR="00E60534" w:rsidRDefault="00E60534">
          <w:r>
            <w:rPr>
              <w:b/>
              <w:bCs/>
              <w:noProof/>
            </w:rPr>
            <w:fldChar w:fldCharType="end"/>
          </w:r>
        </w:p>
      </w:sdtContent>
    </w:sdt>
    <w:p w14:paraId="64192358" w14:textId="77777777" w:rsidR="00F5046A" w:rsidRDefault="00F5046A">
      <w:r>
        <w:br w:type="page"/>
      </w:r>
    </w:p>
    <w:p w14:paraId="3861AFD3" w14:textId="4E0F954D" w:rsidR="001A7765" w:rsidRPr="001A7765" w:rsidRDefault="001A7765" w:rsidP="00236E0D">
      <w:pPr>
        <w:pStyle w:val="Heading2"/>
      </w:pPr>
      <w:bookmarkStart w:id="7" w:name="_Toc157066997"/>
      <w:r w:rsidRPr="001A7765">
        <w:lastRenderedPageBreak/>
        <w:t>Introduction</w:t>
      </w:r>
      <w:r w:rsidR="009C397F">
        <w:t>:</w:t>
      </w:r>
      <w:bookmarkEnd w:id="7"/>
    </w:p>
    <w:p w14:paraId="16A311CA" w14:textId="33B269B4" w:rsidR="001A7765" w:rsidRDefault="001A7765" w:rsidP="001A7765">
      <w:r>
        <w:t xml:space="preserve">Large </w:t>
      </w:r>
      <w:r w:rsidR="00187994">
        <w:t>S</w:t>
      </w:r>
      <w:r>
        <w:t xml:space="preserve">cale </w:t>
      </w:r>
      <w:r w:rsidR="00187994">
        <w:t>E</w:t>
      </w:r>
      <w:r>
        <w:t xml:space="preserve">nquiries have an important role in understanding and responding to concerns about Organisational abuse or neglect. They provide an opportunity to review a number of individual safeguarding enquiries together, to identify patterns and underlying causes of abuse and neglect, and to identify the learning and measures needed to safeguard people who use that service. </w:t>
      </w:r>
    </w:p>
    <w:p w14:paraId="08EE2796" w14:textId="7F23C622" w:rsidR="001A7765" w:rsidRDefault="001A7765" w:rsidP="001A7765">
      <w:r>
        <w:t xml:space="preserve">In this way, large scale enquiries can have an important role in helping to prevent the reoccurrence of abuse or neglect, and in supporting </w:t>
      </w:r>
      <w:r w:rsidR="006D11A0">
        <w:t>people and community</w:t>
      </w:r>
      <w:r>
        <w:t xml:space="preserve"> expectations, that they be safe and feel safe, now and into the future.</w:t>
      </w:r>
    </w:p>
    <w:p w14:paraId="60970D8F" w14:textId="3D7B3CDF" w:rsidR="001A7765" w:rsidRDefault="001A7765" w:rsidP="001A7765">
      <w:r>
        <w:t xml:space="preserve">This practice guidance sets out when a </w:t>
      </w:r>
      <w:r w:rsidR="00095E7D">
        <w:t>Large-Scale</w:t>
      </w:r>
      <w:r>
        <w:t xml:space="preserve"> </w:t>
      </w:r>
      <w:r w:rsidR="005C5774">
        <w:t>E</w:t>
      </w:r>
      <w:r>
        <w:t>nquiry should be considered, as well as general practice principles for Safeguarding Coordinators that will need to be applied with professional judgement and proportionality in light of the specific circumstances.</w:t>
      </w:r>
    </w:p>
    <w:p w14:paraId="1E5A9487" w14:textId="4A9F2B8A" w:rsidR="001A7765" w:rsidRDefault="001A7765" w:rsidP="00187994">
      <w:pPr>
        <w:rPr>
          <w:rStyle w:val="ui-provider"/>
        </w:rPr>
      </w:pPr>
      <w:r>
        <w:t xml:space="preserve"> This practice guidance will need to be read alongside</w:t>
      </w:r>
      <w:r w:rsidR="00713E8F">
        <w:t xml:space="preserve"> the</w:t>
      </w:r>
      <w:r>
        <w:t xml:space="preserve"> </w:t>
      </w:r>
      <w:hyperlink r:id="rId10" w:history="1">
        <w:r w:rsidR="00713E8F">
          <w:rPr>
            <w:rStyle w:val="Hyperlink"/>
          </w:rPr>
          <w:t>Joint Multi-Agency Safeguarding Adults Policy &amp; Procedures Bradford, Calderdale, Kirklees, North Yorkshire, Wakefield, And York</w:t>
        </w:r>
      </w:hyperlink>
      <w:r w:rsidR="00187994">
        <w:rPr>
          <w:rStyle w:val="ui-provider"/>
        </w:rPr>
        <w:t xml:space="preserve"> </w:t>
      </w:r>
    </w:p>
    <w:p w14:paraId="7A887BB7" w14:textId="559E7A0E" w:rsidR="000F54F8" w:rsidRPr="001B6925" w:rsidRDefault="000F54F8" w:rsidP="00236E0D">
      <w:pPr>
        <w:pStyle w:val="Heading2"/>
      </w:pPr>
      <w:bookmarkStart w:id="8" w:name="_Toc157066998"/>
      <w:r w:rsidRPr="001B6925">
        <w:t>Organisational Abuse:</w:t>
      </w:r>
      <w:bookmarkEnd w:id="8"/>
      <w:r w:rsidRPr="001B6925">
        <w:t xml:space="preserve"> </w:t>
      </w:r>
    </w:p>
    <w:p w14:paraId="60FF0E58" w14:textId="77777777" w:rsidR="000F54F8" w:rsidRDefault="000F54F8" w:rsidP="000F54F8">
      <w:r>
        <w:t xml:space="preserve">The Care and Support statutory guidance describes Organisational Abuse as: </w:t>
      </w:r>
    </w:p>
    <w:p w14:paraId="4E14D599" w14:textId="77777777" w:rsidR="003E326D" w:rsidRDefault="000F54F8" w:rsidP="000F54F8">
      <w:r>
        <w:t xml:space="preserve">Including neglect and poor care practice within an institution or specific care setting such as a hospital or care home, for example, or in relation to care provided in one’s own home. This may range from one-off incidents to on-going ill-treatment. It can be through neglect or poor professional practice as a result of the structure, policies, processes, and practices within an organisation (Care and Support, Statutory Guidance 2020: Section 14.17). </w:t>
      </w:r>
    </w:p>
    <w:p w14:paraId="33D63158" w14:textId="064D7125" w:rsidR="000F54F8" w:rsidRDefault="003E326D" w:rsidP="000F54F8">
      <w:r>
        <w:t xml:space="preserve">The National Institute for Health and Care Excellence (NICE) describes the indicators of organisational abuse and neglect and a high level process map: </w:t>
      </w:r>
      <w:hyperlink r:id="rId11" w:history="1">
        <w:r w:rsidR="000F54F8">
          <w:rPr>
            <w:rStyle w:val="Hyperlink"/>
          </w:rPr>
          <w:t>NG189 Indicators of organisational abuse and neglect visual summary (nice.org.uk)</w:t>
        </w:r>
      </w:hyperlink>
      <w:r w:rsidR="00682575">
        <w:rPr>
          <w:rStyle w:val="Hyperlink"/>
        </w:rPr>
        <w:t>.</w:t>
      </w:r>
    </w:p>
    <w:p w14:paraId="3B2FBB9C" w14:textId="13FE05C9" w:rsidR="000F54F8" w:rsidRPr="009C397F" w:rsidRDefault="000F54F8" w:rsidP="00E60534">
      <w:pPr>
        <w:pStyle w:val="Heading3"/>
      </w:pPr>
      <w:bookmarkStart w:id="9" w:name="_Toc157066999"/>
      <w:r w:rsidRPr="009C397F">
        <w:t>Identifying Organisational Abuse:</w:t>
      </w:r>
      <w:bookmarkEnd w:id="9"/>
      <w:r w:rsidRPr="009C397F">
        <w:t xml:space="preserve"> </w:t>
      </w:r>
    </w:p>
    <w:p w14:paraId="313D23D1" w14:textId="6EF8D740" w:rsidR="000F54F8" w:rsidRDefault="000F54F8" w:rsidP="000F54F8">
      <w:r>
        <w:t xml:space="preserve">Where a Large Scale Enquiry is being undertaken, many different forms of abuse or neglect may be evidenced within the individual safeguarding enquiries being undertaken. The overarching Large Scale Enquiry will be able to consider these individual enquiries together, to identify underlying factors that maintain the risk of abuse and neglect. </w:t>
      </w:r>
    </w:p>
    <w:p w14:paraId="1193E218" w14:textId="77777777" w:rsidR="000F54F8" w:rsidRDefault="000F54F8" w:rsidP="000F54F8">
      <w:r>
        <w:t xml:space="preserve">The following guidance can inform professional judgements and decision making as to whether organisational abuse is a presenting concern: </w:t>
      </w:r>
    </w:p>
    <w:p w14:paraId="71556C09" w14:textId="77777777" w:rsidR="000F54F8" w:rsidRDefault="000F54F8" w:rsidP="000F54F8">
      <w:r>
        <w:t xml:space="preserve">As organisational abuse or neglect arises as a result of the structure, policies, processes, and practices within an organisation, it may be evidenced by certain characteristics: </w:t>
      </w:r>
    </w:p>
    <w:p w14:paraId="751E93BF" w14:textId="77777777" w:rsidR="000F54F8" w:rsidRDefault="000F54F8" w:rsidP="000F54F8">
      <w:pPr>
        <w:pStyle w:val="ListParagraph"/>
        <w:numPr>
          <w:ilvl w:val="0"/>
          <w:numId w:val="3"/>
        </w:numPr>
      </w:pPr>
      <w:r>
        <w:t xml:space="preserve">It is widespread within the setting (e.g., the abusive/neglectful practice is not confined to the practice of a single staff member) </w:t>
      </w:r>
    </w:p>
    <w:p w14:paraId="3116F79B" w14:textId="77777777" w:rsidR="000F54F8" w:rsidRDefault="000F54F8" w:rsidP="000F54F8">
      <w:pPr>
        <w:pStyle w:val="ListParagraph"/>
        <w:numPr>
          <w:ilvl w:val="0"/>
          <w:numId w:val="3"/>
        </w:numPr>
      </w:pPr>
      <w:r>
        <w:t xml:space="preserve">It is evidenced by repeated instances of abuse or neglect </w:t>
      </w:r>
    </w:p>
    <w:p w14:paraId="5925BA77" w14:textId="77777777" w:rsidR="000F54F8" w:rsidRDefault="000F54F8" w:rsidP="000F54F8">
      <w:pPr>
        <w:pStyle w:val="ListParagraph"/>
        <w:numPr>
          <w:ilvl w:val="0"/>
          <w:numId w:val="3"/>
        </w:numPr>
      </w:pPr>
      <w:r>
        <w:t xml:space="preserve">It is generally accepted that these things happen </w:t>
      </w:r>
    </w:p>
    <w:p w14:paraId="176F5A2C" w14:textId="77777777" w:rsidR="000F54F8" w:rsidRDefault="000F54F8" w:rsidP="000F54F8">
      <w:pPr>
        <w:pStyle w:val="ListParagraph"/>
        <w:numPr>
          <w:ilvl w:val="0"/>
          <w:numId w:val="3"/>
        </w:numPr>
      </w:pPr>
      <w:r>
        <w:t xml:space="preserve">It is sanctioned – it is encouraged or condoned by line managers </w:t>
      </w:r>
    </w:p>
    <w:p w14:paraId="25E315E3" w14:textId="77777777" w:rsidR="000F54F8" w:rsidRDefault="000F54F8" w:rsidP="000F54F8">
      <w:pPr>
        <w:pStyle w:val="ListParagraph"/>
        <w:numPr>
          <w:ilvl w:val="0"/>
          <w:numId w:val="3"/>
        </w:numPr>
      </w:pPr>
      <w:r>
        <w:t xml:space="preserve">The absence of effective monitoring or management oversight by managers has allowed the practice to occur. </w:t>
      </w:r>
    </w:p>
    <w:p w14:paraId="13CB7F62" w14:textId="77777777" w:rsidR="000F54F8" w:rsidRDefault="000F54F8" w:rsidP="000F54F8">
      <w:pPr>
        <w:pStyle w:val="ListParagraph"/>
        <w:numPr>
          <w:ilvl w:val="0"/>
          <w:numId w:val="3"/>
        </w:numPr>
      </w:pPr>
      <w:r>
        <w:t xml:space="preserve">There are environmental factors (e.g., unsuitable buildings, lack of equipment, many temporary staff) that adversely affect the quality of care. </w:t>
      </w:r>
    </w:p>
    <w:p w14:paraId="00E284E2" w14:textId="77777777" w:rsidR="000F54F8" w:rsidRDefault="000F54F8" w:rsidP="000F54F8">
      <w:pPr>
        <w:pStyle w:val="ListParagraph"/>
        <w:numPr>
          <w:ilvl w:val="0"/>
          <w:numId w:val="3"/>
        </w:numPr>
      </w:pPr>
      <w:r>
        <w:lastRenderedPageBreak/>
        <w:t xml:space="preserve">It is systemic e.g., factors such as a lack of training, poor operational procedures, poor supervision, and management all significantly contribute to the development of organisationally abusive practice. </w:t>
      </w:r>
    </w:p>
    <w:p w14:paraId="0D108103" w14:textId="77777777" w:rsidR="000F54F8" w:rsidRDefault="000F54F8" w:rsidP="000F54F8">
      <w:r>
        <w:t xml:space="preserve">It is not necessary for each of these characteristics to be present. However, the presence of one or more characteristic increases the likelihood that organisational abuse is taking place. Please note organisational abuse may also be indicated by a number of adversely affected service users. However, it could occur in relation to a single service user. </w:t>
      </w:r>
    </w:p>
    <w:p w14:paraId="5B8438EB" w14:textId="333926A4" w:rsidR="000F54F8" w:rsidRDefault="000F54F8" w:rsidP="00187994">
      <w:pPr>
        <w:rPr>
          <w:rStyle w:val="ui-provider"/>
        </w:rPr>
      </w:pPr>
      <w:r>
        <w:t xml:space="preserve">The assessment of possible organisational abuse will need to be based upon </w:t>
      </w:r>
      <w:r w:rsidR="00FD725C">
        <w:t xml:space="preserve">multi-agency </w:t>
      </w:r>
      <w:r>
        <w:t>professional judgement, with consideration of all the individual circumstances. This should include consideration of the actual or potential impact on the wellbeing individuals concerned, as well as the underlying causes of any abuse and neglect.</w:t>
      </w:r>
      <w:r w:rsidR="00DA1EE6">
        <w:t xml:space="preserve"> The rationale for the decision to undertake </w:t>
      </w:r>
      <w:r w:rsidR="00D86BD0">
        <w:t>an</w:t>
      </w:r>
      <w:r w:rsidR="00DA1EE6">
        <w:t xml:space="preserve"> LSE should be recorded in </w:t>
      </w:r>
      <w:r w:rsidR="00DA1EE6" w:rsidRPr="00DA1EE6">
        <w:t>Managing Large scale Enquiries – Escalation Process</w:t>
      </w:r>
      <w:r w:rsidR="00DA1EE6">
        <w:t xml:space="preserve"> (Appendix 6)</w:t>
      </w:r>
    </w:p>
    <w:p w14:paraId="044CA469" w14:textId="46DF8111" w:rsidR="00FA514A" w:rsidRPr="00FA514A" w:rsidRDefault="00FA514A" w:rsidP="00236E0D">
      <w:pPr>
        <w:pStyle w:val="Heading2"/>
      </w:pPr>
      <w:bookmarkStart w:id="10" w:name="_Toc157067000"/>
      <w:r>
        <w:t>Large Scale Enquiries</w:t>
      </w:r>
      <w:r w:rsidR="009C397F">
        <w:t>:</w:t>
      </w:r>
      <w:bookmarkEnd w:id="10"/>
    </w:p>
    <w:p w14:paraId="1400BE49" w14:textId="488063DC" w:rsidR="001A7765" w:rsidRDefault="001A7765" w:rsidP="001A7765">
      <w:r>
        <w:t xml:space="preserve">A ‘Large Scale Enquiry’ </w:t>
      </w:r>
      <w:r w:rsidR="00FA514A">
        <w:t xml:space="preserve">(LSE) </w:t>
      </w:r>
      <w:r>
        <w:t>is an overarching safeguarding enquiry that should be considered when there are concerns about organisational abuse</w:t>
      </w:r>
      <w:r w:rsidR="00F55981">
        <w:t xml:space="preserve"> </w:t>
      </w:r>
      <w:r w:rsidR="00767DC0">
        <w:t>and/or</w:t>
      </w:r>
      <w:r w:rsidR="00F55981">
        <w:t xml:space="preserve"> neglect</w:t>
      </w:r>
      <w:r>
        <w:t xml:space="preserve">. </w:t>
      </w:r>
      <w:r w:rsidR="00F55981">
        <w:t xml:space="preserve">There are other processes which should be used in circumstances where there are concerns of a quality of care nature that are not related to abuse </w:t>
      </w:r>
      <w:r w:rsidR="00767DC0">
        <w:t>or</w:t>
      </w:r>
      <w:r w:rsidR="00F55981">
        <w:t xml:space="preserve"> neglect. </w:t>
      </w:r>
    </w:p>
    <w:p w14:paraId="7B90B5AE" w14:textId="77777777" w:rsidR="001A7765" w:rsidRDefault="001A7765" w:rsidP="001A7765">
      <w:r>
        <w:t xml:space="preserve">The Care and Support Statutory Guidance 2020 states: “Professionals and others should look beyond single incidents or individuals to identify patterns of harm” (Para 14.18). </w:t>
      </w:r>
    </w:p>
    <w:p w14:paraId="7996D921" w14:textId="77777777" w:rsidR="001A7765" w:rsidRDefault="001A7765" w:rsidP="001A7765">
      <w:r>
        <w:t xml:space="preserve">A Large Scale Enquiry takes forward this approach, it enables a number of individual safeguarding enquiries to be considered together in a way that helps to identify organisational causes of abuse or neglect, and the measures needed to prevent its reoccurrence. </w:t>
      </w:r>
    </w:p>
    <w:p w14:paraId="2B14D02F" w14:textId="4C89BF5A" w:rsidR="001A7765" w:rsidRPr="00D25BE6" w:rsidRDefault="001A7765" w:rsidP="001A7765">
      <w:r w:rsidRPr="00D25BE6">
        <w:t xml:space="preserve">Where abuse or neglect arises due to underlying reasons, relating to the structure, policies, </w:t>
      </w:r>
      <w:r w:rsidR="00B33EB0" w:rsidRPr="00D25BE6">
        <w:t>processes,</w:t>
      </w:r>
      <w:r w:rsidRPr="00D25BE6">
        <w:t xml:space="preserve"> and practices within an organisation it might be considered organisational</w:t>
      </w:r>
      <w:r w:rsidR="00767DC0">
        <w:t xml:space="preserve"> abuse or neglect</w:t>
      </w:r>
      <w:r w:rsidRPr="00D25BE6">
        <w:t xml:space="preserve">. Identifying the underlying causes helps to ensure that safeguarding measures are targeted appropriately, to safeguard all those concerned and others in the future. </w:t>
      </w:r>
    </w:p>
    <w:p w14:paraId="5CE782F2" w14:textId="3BD5F297" w:rsidR="00D25BE6" w:rsidRPr="00D25BE6" w:rsidRDefault="00D25BE6" w:rsidP="00682575">
      <w:pPr>
        <w:pStyle w:val="NoSpacing"/>
        <w:spacing w:before="120" w:after="240"/>
      </w:pPr>
      <w:r w:rsidRPr="00D25BE6">
        <w:t xml:space="preserve">A Large-Scale Enquiry (LSE) is made when there are concerns about a particular service provider for multiple adults at risk. It is not a replacement for individual safeguarding concerns which must follow the </w:t>
      </w:r>
      <w:hyperlink r:id="rId12" w:history="1">
        <w:r w:rsidR="000F285C">
          <w:rPr>
            <w:rStyle w:val="Hyperlink"/>
          </w:rPr>
          <w:t>Joint Multi-Agency Safeguarding Adults Policy &amp; Procedures.</w:t>
        </w:r>
      </w:hyperlink>
      <w:r w:rsidRPr="00D25BE6">
        <w:t xml:space="preserve"> </w:t>
      </w:r>
      <w:r w:rsidRPr="00D25BE6">
        <w:rPr>
          <w:rFonts w:eastAsia="Tahoma"/>
        </w:rPr>
        <w:t>A multi-agency approach involves more than one agency. This can range from 2 agencies to a large number of agencies, depending on the nature and scope of the enquiries to be made</w:t>
      </w:r>
      <w:r w:rsidRPr="00D25BE6">
        <w:t>.</w:t>
      </w:r>
    </w:p>
    <w:p w14:paraId="22A6866C" w14:textId="573BF4BA" w:rsidR="00D25BE6" w:rsidRPr="00D25BE6" w:rsidRDefault="00D25BE6" w:rsidP="00682575">
      <w:pPr>
        <w:pStyle w:val="NoSpacing"/>
        <w:spacing w:after="240"/>
      </w:pPr>
      <w:r w:rsidRPr="00D25BE6">
        <w:rPr>
          <w:rFonts w:eastAsia="Tahoma"/>
        </w:rPr>
        <w:t>The decision about how best to approach the enquiry should be made by the Local Authority Safeguarding Adults Lead</w:t>
      </w:r>
      <w:r w:rsidR="00246FC4">
        <w:rPr>
          <w:rFonts w:eastAsia="Tahoma"/>
        </w:rPr>
        <w:t xml:space="preserve"> in consultation with other agencies involved</w:t>
      </w:r>
      <w:r w:rsidRPr="00D25BE6">
        <w:rPr>
          <w:rFonts w:eastAsia="Tahoma"/>
        </w:rPr>
        <w:t>.</w:t>
      </w:r>
    </w:p>
    <w:p w14:paraId="62183729" w14:textId="643D7BDA" w:rsidR="00D25BE6" w:rsidRPr="00D25BE6" w:rsidRDefault="00D25BE6" w:rsidP="00682575">
      <w:pPr>
        <w:pStyle w:val="NoSpacing"/>
        <w:spacing w:after="240"/>
      </w:pPr>
      <w:r w:rsidRPr="00D25BE6">
        <w:rPr>
          <w:rFonts w:eastAsia="Tahoma"/>
        </w:rPr>
        <w:t>Under s45 of the Care Act 2014, any professional or organisation asked to co-operate in the enquiry has a duty to do so.</w:t>
      </w:r>
    </w:p>
    <w:p w14:paraId="34D10B65" w14:textId="4F7485C6" w:rsidR="00D25BE6" w:rsidRPr="00682575" w:rsidRDefault="00D25BE6" w:rsidP="00682575">
      <w:pPr>
        <w:pStyle w:val="NoSpacing"/>
        <w:spacing w:after="240"/>
        <w:rPr>
          <w:rFonts w:eastAsia="Tahoma"/>
        </w:rPr>
      </w:pPr>
      <w:r w:rsidRPr="00D25BE6">
        <w:rPr>
          <w:rFonts w:eastAsia="Tahoma"/>
        </w:rPr>
        <w:t xml:space="preserve">Where the approach involves </w:t>
      </w:r>
      <w:r w:rsidR="00246FC4">
        <w:rPr>
          <w:rFonts w:eastAsia="Tahoma"/>
        </w:rPr>
        <w:t>o</w:t>
      </w:r>
      <w:r w:rsidRPr="00D25BE6">
        <w:rPr>
          <w:rFonts w:eastAsia="Tahoma"/>
        </w:rPr>
        <w:t>ther professional</w:t>
      </w:r>
      <w:r w:rsidR="00246FC4">
        <w:rPr>
          <w:rFonts w:eastAsia="Tahoma"/>
        </w:rPr>
        <w:t>s</w:t>
      </w:r>
      <w:r w:rsidRPr="00D25BE6">
        <w:rPr>
          <w:rFonts w:eastAsia="Tahoma"/>
        </w:rPr>
        <w:t xml:space="preserve"> or organisation</w:t>
      </w:r>
      <w:r w:rsidR="00246FC4">
        <w:rPr>
          <w:rFonts w:eastAsia="Tahoma"/>
        </w:rPr>
        <w:t>s</w:t>
      </w:r>
      <w:r w:rsidRPr="00D25BE6">
        <w:rPr>
          <w:rFonts w:eastAsia="Tahoma"/>
        </w:rPr>
        <w:t xml:space="preserve"> making enquiries, the local authority remains the lead agency, with responsibility for monitoring progress of enquiries made by others and coordinating the safeguarding process.</w:t>
      </w:r>
    </w:p>
    <w:p w14:paraId="139465E9" w14:textId="77777777" w:rsidR="009A1BDE" w:rsidRPr="009A6E2F" w:rsidRDefault="00246FC4" w:rsidP="009A1BDE">
      <w:pPr>
        <w:rPr>
          <w:rFonts w:cstheme="minorHAnsi"/>
          <w:color w:val="000000"/>
          <w:lang w:eastAsia="en-GB"/>
        </w:rPr>
      </w:pPr>
      <w:r w:rsidRPr="009A1BDE">
        <w:rPr>
          <w:rFonts w:cstheme="minorHAnsi"/>
        </w:rPr>
        <w:t xml:space="preserve">A </w:t>
      </w:r>
      <w:r w:rsidR="009C397F" w:rsidRPr="009A1BDE">
        <w:rPr>
          <w:rFonts w:cstheme="minorHAnsi"/>
        </w:rPr>
        <w:t>safeguarding concern</w:t>
      </w:r>
      <w:r w:rsidR="00D25BE6" w:rsidRPr="009A1BDE">
        <w:rPr>
          <w:rFonts w:cstheme="minorHAnsi"/>
        </w:rPr>
        <w:t xml:space="preserve"> can be </w:t>
      </w:r>
      <w:r w:rsidRPr="009A1BDE">
        <w:rPr>
          <w:rFonts w:cstheme="minorHAnsi"/>
        </w:rPr>
        <w:t xml:space="preserve">raised with the local authority </w:t>
      </w:r>
      <w:r w:rsidR="00D25BE6" w:rsidRPr="009A1BDE">
        <w:rPr>
          <w:rFonts w:cstheme="minorHAnsi"/>
        </w:rPr>
        <w:t xml:space="preserve">by a member of the public or by a professional, but the decision whether to proceed with an LSE is made at a multi-agency meeting </w:t>
      </w:r>
      <w:r w:rsidR="00D25BE6" w:rsidRPr="009A1BDE">
        <w:rPr>
          <w:rFonts w:cstheme="minorHAnsi"/>
        </w:rPr>
        <w:lastRenderedPageBreak/>
        <w:t>chaired by a senior manager in Adult Services and Well-being</w:t>
      </w:r>
      <w:r w:rsidR="009A1BDE" w:rsidRPr="009A1BDE">
        <w:rPr>
          <w:rFonts w:cstheme="minorHAnsi"/>
        </w:rPr>
        <w:t xml:space="preserve">, the ultimate decision maker is the </w:t>
      </w:r>
      <w:r w:rsidR="009A1BDE" w:rsidRPr="009A6E2F">
        <w:rPr>
          <w:rFonts w:cstheme="minorHAnsi"/>
          <w:color w:val="000000"/>
          <w:lang w:eastAsia="en-GB"/>
        </w:rPr>
        <w:t>Director for Adult Services and Wellbeing</w:t>
      </w:r>
    </w:p>
    <w:p w14:paraId="1BE44419" w14:textId="77777777" w:rsidR="00D25BE6" w:rsidRPr="00D25BE6" w:rsidRDefault="00D25BE6" w:rsidP="00D25BE6">
      <w:pPr>
        <w:rPr>
          <w:rFonts w:cstheme="minorHAnsi"/>
        </w:rPr>
      </w:pPr>
      <w:r w:rsidRPr="00D25BE6">
        <w:rPr>
          <w:rFonts w:cstheme="minorHAnsi"/>
        </w:rPr>
        <w:t>A multi-agency approach can be adopted when there are a large number of enquiries to be made but can equally be deemed appropriate when just a single enquiry action is needed, if a multidisciplinary approach to that action would be beneficial. For example, a joint assessment of need or risk between the local authority and a health professional when the person has complex health needs.</w:t>
      </w:r>
    </w:p>
    <w:p w14:paraId="607A604C" w14:textId="60418400" w:rsidR="00D25BE6" w:rsidRDefault="00D25BE6" w:rsidP="00D25BE6">
      <w:pPr>
        <w:rPr>
          <w:rFonts w:cstheme="minorHAnsi"/>
        </w:rPr>
      </w:pPr>
      <w:r w:rsidRPr="00D25BE6">
        <w:rPr>
          <w:rFonts w:cstheme="minorHAnsi"/>
        </w:rPr>
        <w:t>A multi-agency approach must be co-operative and collaborative in its nature</w:t>
      </w:r>
      <w:r w:rsidR="00767DC0">
        <w:rPr>
          <w:rFonts w:cstheme="minorHAnsi"/>
        </w:rPr>
        <w:t>;</w:t>
      </w:r>
      <w:r w:rsidRPr="00D25BE6">
        <w:rPr>
          <w:rFonts w:cstheme="minorHAnsi"/>
        </w:rPr>
        <w:t xml:space="preserve"> information that may impact on enquiries being made by another professional or agency should be shared with the lead practitioner at the earliest opportunity to prevent duplicat</w:t>
      </w:r>
      <w:r w:rsidR="000F54F8">
        <w:rPr>
          <w:rFonts w:cstheme="minorHAnsi"/>
        </w:rPr>
        <w:t xml:space="preserve">ion </w:t>
      </w:r>
      <w:r w:rsidRPr="00D25BE6">
        <w:rPr>
          <w:rFonts w:cstheme="minorHAnsi"/>
        </w:rPr>
        <w:t>or enquiries that are no longer relevant being made.</w:t>
      </w:r>
    </w:p>
    <w:p w14:paraId="51CD21CB" w14:textId="77777777" w:rsidR="00D25BE6" w:rsidRPr="00E755A0" w:rsidRDefault="00D25BE6" w:rsidP="00D25BE6">
      <w:pPr>
        <w:spacing w:after="35"/>
        <w:rPr>
          <w:rFonts w:cstheme="minorHAnsi"/>
        </w:rPr>
      </w:pPr>
      <w:r w:rsidRPr="00E755A0">
        <w:rPr>
          <w:rFonts w:cstheme="minorHAnsi"/>
        </w:rPr>
        <w:t xml:space="preserve">The criteria for </w:t>
      </w:r>
      <w:r>
        <w:rPr>
          <w:rFonts w:cstheme="minorHAnsi"/>
        </w:rPr>
        <w:t xml:space="preserve">considering </w:t>
      </w:r>
      <w:r w:rsidRPr="00E755A0">
        <w:rPr>
          <w:rFonts w:cstheme="minorHAnsi"/>
        </w:rPr>
        <w:t>a Large</w:t>
      </w:r>
      <w:r>
        <w:rPr>
          <w:rFonts w:cstheme="minorHAnsi"/>
        </w:rPr>
        <w:t>-</w:t>
      </w:r>
      <w:r w:rsidRPr="00E755A0">
        <w:rPr>
          <w:rFonts w:cstheme="minorHAnsi"/>
        </w:rPr>
        <w:t xml:space="preserve">Scale Enquiry are: </w:t>
      </w:r>
    </w:p>
    <w:p w14:paraId="45964EF3" w14:textId="12D2B26C" w:rsidR="00D25BE6" w:rsidRPr="00E06E71" w:rsidRDefault="00D25BE6" w:rsidP="00D25BE6">
      <w:pPr>
        <w:pStyle w:val="ListParagraph"/>
        <w:numPr>
          <w:ilvl w:val="0"/>
          <w:numId w:val="17"/>
        </w:numPr>
        <w:spacing w:after="0" w:line="239" w:lineRule="auto"/>
        <w:rPr>
          <w:rFonts w:cstheme="minorHAnsi"/>
        </w:rPr>
      </w:pPr>
      <w:r w:rsidRPr="00E06E71">
        <w:rPr>
          <w:rFonts w:cstheme="minorHAnsi"/>
        </w:rPr>
        <w:t xml:space="preserve">Accumulated complaints about the same service by people accessing the service, their families, or members of the public, which amounts to serious safeguarding concerns. </w:t>
      </w:r>
    </w:p>
    <w:p w14:paraId="325F90D4" w14:textId="77777777" w:rsidR="00D25BE6" w:rsidRPr="00E06E71" w:rsidRDefault="00D25BE6" w:rsidP="00D25BE6">
      <w:pPr>
        <w:pStyle w:val="ListParagraph"/>
        <w:numPr>
          <w:ilvl w:val="0"/>
          <w:numId w:val="17"/>
        </w:numPr>
        <w:spacing w:after="0" w:line="240" w:lineRule="auto"/>
        <w:rPr>
          <w:rFonts w:cstheme="minorHAnsi"/>
        </w:rPr>
      </w:pPr>
      <w:r w:rsidRPr="00E06E71">
        <w:rPr>
          <w:rFonts w:cstheme="minorHAnsi"/>
        </w:rPr>
        <w:t>Serious concerns of a safeguarding nature following several visits or individual reviews in the service.</w:t>
      </w:r>
    </w:p>
    <w:p w14:paraId="1743D29C" w14:textId="1F00AFAA" w:rsidR="00D25BE6" w:rsidRPr="00E06E71" w:rsidRDefault="00D25BE6" w:rsidP="00D25BE6">
      <w:pPr>
        <w:pStyle w:val="ListParagraph"/>
        <w:numPr>
          <w:ilvl w:val="0"/>
          <w:numId w:val="17"/>
        </w:numPr>
        <w:spacing w:after="2" w:line="238" w:lineRule="auto"/>
        <w:rPr>
          <w:rFonts w:cstheme="minorHAnsi"/>
        </w:rPr>
      </w:pPr>
      <w:r w:rsidRPr="00E06E71">
        <w:rPr>
          <w:rFonts w:cstheme="minorHAnsi"/>
        </w:rPr>
        <w:t xml:space="preserve">Serious concerns of a safeguarding nature following contract compliance reviews encompassing </w:t>
      </w:r>
      <w:r w:rsidR="00767DC0">
        <w:rPr>
          <w:rFonts w:cstheme="minorHAnsi"/>
        </w:rPr>
        <w:t>q</w:t>
      </w:r>
      <w:r w:rsidRPr="00E06E71">
        <w:rPr>
          <w:rFonts w:cstheme="minorHAnsi"/>
        </w:rPr>
        <w:t xml:space="preserve">uality assurance visits of the service. </w:t>
      </w:r>
    </w:p>
    <w:p w14:paraId="1FF369FD" w14:textId="77777777" w:rsidR="00D25BE6" w:rsidRPr="00E06E71" w:rsidRDefault="00D25BE6" w:rsidP="00D25BE6">
      <w:pPr>
        <w:pStyle w:val="ListParagraph"/>
        <w:numPr>
          <w:ilvl w:val="0"/>
          <w:numId w:val="17"/>
        </w:numPr>
        <w:spacing w:after="2" w:line="238" w:lineRule="auto"/>
        <w:rPr>
          <w:rFonts w:cstheme="minorHAnsi"/>
        </w:rPr>
      </w:pPr>
      <w:r w:rsidRPr="00E06E71">
        <w:rPr>
          <w:rFonts w:cstheme="minorHAnsi"/>
        </w:rPr>
        <w:t xml:space="preserve">Reports of serious safeguarding concerns from other professional services / organisations involved in the service. </w:t>
      </w:r>
    </w:p>
    <w:p w14:paraId="5835D50B" w14:textId="742E70D8" w:rsidR="00D25BE6" w:rsidRPr="00E06E71" w:rsidRDefault="00D25BE6" w:rsidP="00D25BE6">
      <w:pPr>
        <w:pStyle w:val="ListParagraph"/>
        <w:numPr>
          <w:ilvl w:val="0"/>
          <w:numId w:val="17"/>
        </w:numPr>
        <w:spacing w:after="0"/>
        <w:rPr>
          <w:rFonts w:cstheme="minorHAnsi"/>
        </w:rPr>
      </w:pPr>
      <w:r w:rsidRPr="00E06E71">
        <w:rPr>
          <w:rFonts w:cstheme="minorHAnsi"/>
        </w:rPr>
        <w:t xml:space="preserve">Serious </w:t>
      </w:r>
      <w:r w:rsidR="00CA1292">
        <w:rPr>
          <w:rFonts w:cstheme="minorHAnsi"/>
        </w:rPr>
        <w:t xml:space="preserve">safeguarding </w:t>
      </w:r>
      <w:r w:rsidRPr="00E06E71">
        <w:rPr>
          <w:rFonts w:cstheme="minorHAnsi"/>
        </w:rPr>
        <w:t>concerns as a result of whistleblowing.</w:t>
      </w:r>
    </w:p>
    <w:p w14:paraId="243AE170" w14:textId="77777777" w:rsidR="00D25BE6" w:rsidRPr="00E06E71" w:rsidRDefault="00D25BE6" w:rsidP="00D25BE6">
      <w:pPr>
        <w:pStyle w:val="ListParagraph"/>
        <w:numPr>
          <w:ilvl w:val="0"/>
          <w:numId w:val="18"/>
        </w:numPr>
        <w:spacing w:after="0"/>
        <w:rPr>
          <w:rFonts w:cstheme="minorHAnsi"/>
        </w:rPr>
      </w:pPr>
      <w:r w:rsidRPr="00E06E71">
        <w:rPr>
          <w:rFonts w:cstheme="minorHAnsi"/>
        </w:rPr>
        <w:t>Serious concerns following a Safeguarding Adults planning meeting or enquiry.</w:t>
      </w:r>
    </w:p>
    <w:p w14:paraId="01E74262" w14:textId="21714033" w:rsidR="00D25BE6" w:rsidRPr="00E06E71" w:rsidRDefault="00D25BE6" w:rsidP="00D25BE6">
      <w:pPr>
        <w:pStyle w:val="ListParagraph"/>
        <w:numPr>
          <w:ilvl w:val="0"/>
          <w:numId w:val="18"/>
        </w:numPr>
        <w:spacing w:after="0"/>
        <w:rPr>
          <w:rFonts w:cstheme="minorHAnsi"/>
        </w:rPr>
      </w:pPr>
      <w:r w:rsidRPr="00E06E71">
        <w:rPr>
          <w:rFonts w:cstheme="minorHAnsi"/>
        </w:rPr>
        <w:t xml:space="preserve">An enquiry into individual concerns reveals wider </w:t>
      </w:r>
      <w:r w:rsidR="00CA1292">
        <w:rPr>
          <w:rFonts w:cstheme="minorHAnsi"/>
        </w:rPr>
        <w:t xml:space="preserve">safeguarding </w:t>
      </w:r>
      <w:r w:rsidRPr="00E06E71">
        <w:rPr>
          <w:rFonts w:cstheme="minorHAnsi"/>
        </w:rPr>
        <w:t>issues about a provider</w:t>
      </w:r>
      <w:r w:rsidR="00CA1292">
        <w:rPr>
          <w:rFonts w:cstheme="minorHAnsi"/>
        </w:rPr>
        <w:t xml:space="preserve"> which indicate </w:t>
      </w:r>
      <w:r w:rsidR="00545F0A">
        <w:rPr>
          <w:rFonts w:cstheme="minorHAnsi"/>
        </w:rPr>
        <w:t xml:space="preserve">organisational </w:t>
      </w:r>
      <w:r w:rsidR="00CA1292">
        <w:rPr>
          <w:rFonts w:cstheme="minorHAnsi"/>
        </w:rPr>
        <w:t>abuse</w:t>
      </w:r>
      <w:r w:rsidRPr="00E06E71">
        <w:rPr>
          <w:rFonts w:cstheme="minorHAnsi"/>
        </w:rPr>
        <w:t>.</w:t>
      </w:r>
    </w:p>
    <w:p w14:paraId="656DB4C5" w14:textId="56E101DF" w:rsidR="00D25BE6" w:rsidRPr="00682575" w:rsidRDefault="00D25BE6" w:rsidP="00682575">
      <w:pPr>
        <w:pStyle w:val="ListParagraph"/>
        <w:numPr>
          <w:ilvl w:val="0"/>
          <w:numId w:val="18"/>
        </w:numPr>
        <w:spacing w:after="240"/>
        <w:ind w:left="1797" w:hanging="357"/>
        <w:rPr>
          <w:rFonts w:cstheme="minorHAnsi"/>
        </w:rPr>
      </w:pPr>
      <w:r w:rsidRPr="00E06E71">
        <w:rPr>
          <w:rFonts w:cstheme="minorHAnsi"/>
        </w:rPr>
        <w:t xml:space="preserve">Information from Quality / </w:t>
      </w:r>
      <w:r w:rsidR="009A1BDE">
        <w:rPr>
          <w:rFonts w:cstheme="minorHAnsi"/>
        </w:rPr>
        <w:t xml:space="preserve">contracting teams / </w:t>
      </w:r>
      <w:r w:rsidRPr="00E06E71">
        <w:rPr>
          <w:rFonts w:cstheme="minorHAnsi"/>
        </w:rPr>
        <w:t>CQC</w:t>
      </w:r>
      <w:r w:rsidR="00545F0A">
        <w:rPr>
          <w:rFonts w:cstheme="minorHAnsi"/>
        </w:rPr>
        <w:t xml:space="preserve"> </w:t>
      </w:r>
      <w:r>
        <w:rPr>
          <w:rFonts w:cstheme="minorHAnsi"/>
        </w:rPr>
        <w:t>/ Safeguarding Adults Team (SAT)</w:t>
      </w:r>
      <w:r w:rsidRPr="00E06E71">
        <w:rPr>
          <w:rFonts w:cstheme="minorHAnsi"/>
        </w:rPr>
        <w:t xml:space="preserve"> indicate systemic </w:t>
      </w:r>
      <w:r w:rsidR="00CA1292">
        <w:rPr>
          <w:rFonts w:cstheme="minorHAnsi"/>
        </w:rPr>
        <w:t xml:space="preserve">safeguarding </w:t>
      </w:r>
      <w:r w:rsidRPr="00E06E71">
        <w:rPr>
          <w:rFonts w:cstheme="minorHAnsi"/>
        </w:rPr>
        <w:t>concern</w:t>
      </w:r>
      <w:r w:rsidR="00CA1292">
        <w:rPr>
          <w:rFonts w:cstheme="minorHAnsi"/>
        </w:rPr>
        <w:t>s</w:t>
      </w:r>
      <w:r w:rsidRPr="00E06E71">
        <w:rPr>
          <w:rFonts w:cstheme="minorHAnsi"/>
        </w:rPr>
        <w:t xml:space="preserve"> about a provider.</w:t>
      </w:r>
    </w:p>
    <w:p w14:paraId="1A2204AF" w14:textId="7F56D0DA" w:rsidR="00D25BE6" w:rsidRDefault="00D25BE6" w:rsidP="00D25BE6">
      <w:pPr>
        <w:rPr>
          <w:rFonts w:cstheme="minorHAnsi"/>
        </w:rPr>
      </w:pPr>
      <w:r w:rsidRPr="00E755A0">
        <w:rPr>
          <w:rFonts w:cstheme="minorHAnsi"/>
        </w:rPr>
        <w:t>This includes concerns relating to NHS and privately funded establishments as well as those contracted by the Local Authority</w:t>
      </w:r>
      <w:r>
        <w:rPr>
          <w:rFonts w:cstheme="minorHAnsi"/>
        </w:rPr>
        <w:t>.</w:t>
      </w:r>
    </w:p>
    <w:p w14:paraId="40972F09" w14:textId="08D5BED4" w:rsidR="009146F9" w:rsidRDefault="009146F9" w:rsidP="00D25BE6">
      <w:r>
        <w:rPr>
          <w:rFonts w:cstheme="minorHAnsi"/>
        </w:rPr>
        <w:t xml:space="preserve">Any organisation can request that Adults Services and Wellbeing consider instigating this Large Scale Enquiry Process via the Safeguarding Adults Team (see Appendix 1) or via the organisation’s Safeguarding Adult Board Member. </w:t>
      </w:r>
    </w:p>
    <w:p w14:paraId="58836507" w14:textId="28412DBB" w:rsidR="001A7765" w:rsidRPr="001A7765" w:rsidRDefault="001A7765" w:rsidP="00E60534">
      <w:pPr>
        <w:pStyle w:val="Heading3"/>
      </w:pPr>
      <w:bookmarkStart w:id="11" w:name="_Toc157067001"/>
      <w:r w:rsidRPr="001A7765">
        <w:t xml:space="preserve">Relationship </w:t>
      </w:r>
      <w:r w:rsidR="000220AC">
        <w:t>W</w:t>
      </w:r>
      <w:r w:rsidRPr="001A7765">
        <w:t xml:space="preserve">ith </w:t>
      </w:r>
      <w:r w:rsidR="000220AC">
        <w:t>O</w:t>
      </w:r>
      <w:r w:rsidRPr="001A7765">
        <w:t xml:space="preserve">ther </w:t>
      </w:r>
      <w:r w:rsidR="000220AC">
        <w:t>S</w:t>
      </w:r>
      <w:r w:rsidRPr="001A7765">
        <w:t xml:space="preserve">afeguarding </w:t>
      </w:r>
      <w:r w:rsidR="000220AC">
        <w:t>E</w:t>
      </w:r>
      <w:r w:rsidRPr="001A7765">
        <w:t>nquiries</w:t>
      </w:r>
      <w:r w:rsidR="009C397F">
        <w:t>:</w:t>
      </w:r>
      <w:bookmarkEnd w:id="11"/>
      <w:r w:rsidRPr="001A7765">
        <w:t xml:space="preserve"> </w:t>
      </w:r>
    </w:p>
    <w:p w14:paraId="43C7A219" w14:textId="77777777" w:rsidR="001A7765" w:rsidRDefault="001A7765" w:rsidP="001A7765">
      <w:r>
        <w:t>When there is a safeguarding concern about an individual, the focus of a safeguarding enquiry will be on what has happened to that person, their safety and wellbeing, on their desired outcomes and what actions will be needed to support that person to be safe.</w:t>
      </w:r>
    </w:p>
    <w:p w14:paraId="5CA269C7" w14:textId="77777777" w:rsidR="001A7765" w:rsidRDefault="001A7765" w:rsidP="001A7765">
      <w:r>
        <w:t xml:space="preserve">If there are concerns that more than one person is experiencing abuse or neglect within the same service or setting, then this process should be followed for each person. </w:t>
      </w:r>
    </w:p>
    <w:p w14:paraId="5DC0E92F" w14:textId="15B80911" w:rsidR="001A7765" w:rsidRDefault="001A7765" w:rsidP="001A7765">
      <w:r>
        <w:t xml:space="preserve">As such each individual safeguarding enquiry will need to result in its own safeguarding plan and outcome discussion / meeting. This is important to ensure that each individual person’s needs, desired outcomes, </w:t>
      </w:r>
      <w:r w:rsidR="00D86BD0">
        <w:t>circumstances,</w:t>
      </w:r>
      <w:r>
        <w:t xml:space="preserve"> and personal safety are considered in their own right. </w:t>
      </w:r>
    </w:p>
    <w:p w14:paraId="4CBE8D82" w14:textId="77777777" w:rsidR="001A7765" w:rsidRDefault="001A7765" w:rsidP="001A7765">
      <w:r>
        <w:t xml:space="preserve">Where there are safeguarding concerns for more than one person within the same service or setting, then a Large Scale Enquiry may be additionally required. However, this will only be appropriate </w:t>
      </w:r>
      <w:r>
        <w:lastRenderedPageBreak/>
        <w:t xml:space="preserve">where the nature of the various individual enquiries, when considered together, potentially indicate organisational abuse. </w:t>
      </w:r>
    </w:p>
    <w:p w14:paraId="4547A179" w14:textId="77777777" w:rsidR="001A7765" w:rsidRDefault="001A7765" w:rsidP="001A7765">
      <w:r>
        <w:t xml:space="preserve">As a Large Scale Enquiry is an additional enquiry, it should only be followed where there is a potential benefit to safeguarding people within that service or setting. The need for a Large Scale Enquiry may be identified at any time, for example, whilst other enquiries are being undertaken or at their conclusion. </w:t>
      </w:r>
    </w:p>
    <w:p w14:paraId="2FC8FA7E" w14:textId="699558B4" w:rsidR="00F55981" w:rsidRPr="00D25BE6" w:rsidRDefault="001A7765" w:rsidP="001A7765">
      <w:pPr>
        <w:rPr>
          <w:color w:val="FF0000"/>
        </w:rPr>
      </w:pPr>
      <w:r>
        <w:t xml:space="preserve">The Large Scale Enquiry will need to draw upon the findings of each individual safeguarding enquiry undertaken, and undertake additional enquiries and actions as required in order to respond to the concerns of organisational abuse. </w:t>
      </w:r>
    </w:p>
    <w:p w14:paraId="51C86E73" w14:textId="3AC40C78" w:rsidR="001A7765" w:rsidRPr="00F60AC5" w:rsidRDefault="001A7765" w:rsidP="00236E0D">
      <w:pPr>
        <w:pStyle w:val="Heading2"/>
      </w:pPr>
      <w:bookmarkStart w:id="12" w:name="_Toc157067002"/>
      <w:r w:rsidRPr="00F60AC5">
        <w:t xml:space="preserve">Practice </w:t>
      </w:r>
      <w:r w:rsidR="000220AC" w:rsidRPr="00F60AC5">
        <w:t>C</w:t>
      </w:r>
      <w:r w:rsidRPr="00F60AC5">
        <w:t>onsiderations</w:t>
      </w:r>
      <w:r w:rsidR="009C397F" w:rsidRPr="00F60AC5">
        <w:t>:</w:t>
      </w:r>
      <w:bookmarkEnd w:id="12"/>
      <w:r w:rsidRPr="00F60AC5">
        <w:t xml:space="preserve"> </w:t>
      </w:r>
    </w:p>
    <w:p w14:paraId="1142063A" w14:textId="00BBD7DA" w:rsidR="001A7765" w:rsidRDefault="001A7765" w:rsidP="001A7765">
      <w:r>
        <w:t xml:space="preserve">The Large Scale Enquiry will require its own </w:t>
      </w:r>
      <w:r w:rsidR="00FA514A">
        <w:t xml:space="preserve">LSE </w:t>
      </w:r>
      <w:r>
        <w:t>Multi-Agency Safeguarding Meeting (</w:t>
      </w:r>
      <w:r w:rsidR="00FA514A">
        <w:t xml:space="preserve">LSE </w:t>
      </w:r>
      <w:r>
        <w:t xml:space="preserve">MASM) to consider the findings and safeguarding arrangements required. </w:t>
      </w:r>
    </w:p>
    <w:p w14:paraId="2CF58762" w14:textId="77777777" w:rsidR="001A7765" w:rsidRDefault="001A7765" w:rsidP="001A7765">
      <w:r>
        <w:t xml:space="preserve">Large Scale Enquiries will often be complex. This section sets out additional practice considerations that are particularly relevant when a Large Scale Enquiry is being planned and undertaken. </w:t>
      </w:r>
    </w:p>
    <w:p w14:paraId="625789CD" w14:textId="3A3962E6" w:rsidR="001A7765" w:rsidRPr="00646EA0" w:rsidRDefault="001A7765" w:rsidP="00E60534">
      <w:pPr>
        <w:pStyle w:val="Heading3"/>
      </w:pPr>
      <w:bookmarkStart w:id="13" w:name="_Toc157067003"/>
      <w:r w:rsidRPr="00646EA0">
        <w:t xml:space="preserve">Who </w:t>
      </w:r>
      <w:r w:rsidR="000220AC" w:rsidRPr="00646EA0">
        <w:t>T</w:t>
      </w:r>
      <w:r w:rsidRPr="00646EA0">
        <w:t xml:space="preserve">o </w:t>
      </w:r>
      <w:r w:rsidR="000220AC" w:rsidRPr="00646EA0">
        <w:t>I</w:t>
      </w:r>
      <w:r w:rsidRPr="00646EA0">
        <w:t xml:space="preserve">nvolve </w:t>
      </w:r>
      <w:r w:rsidR="000220AC" w:rsidRPr="00646EA0">
        <w:t>W</w:t>
      </w:r>
      <w:r w:rsidRPr="00646EA0">
        <w:t xml:space="preserve">ithin Large Scale </w:t>
      </w:r>
      <w:r w:rsidR="009C397F" w:rsidRPr="00646EA0">
        <w:t>Enquiries:</w:t>
      </w:r>
      <w:bookmarkEnd w:id="13"/>
    </w:p>
    <w:p w14:paraId="534E5716" w14:textId="41226176" w:rsidR="00E82711" w:rsidRDefault="001A7765" w:rsidP="001A7765">
      <w:r>
        <w:t xml:space="preserve">Involvement at the </w:t>
      </w:r>
      <w:r w:rsidR="00CA1292">
        <w:t xml:space="preserve">LSE </w:t>
      </w:r>
      <w:r>
        <w:t xml:space="preserve">MASM should be limited to those who need to know and can contribute to the decision making process. This may include an appropriate representative of any organisation that has a specific role in: </w:t>
      </w:r>
    </w:p>
    <w:p w14:paraId="7F6FCA1E" w14:textId="77777777" w:rsidR="00E82711" w:rsidRDefault="001A7765" w:rsidP="00E82711">
      <w:pPr>
        <w:pStyle w:val="ListParagraph"/>
        <w:numPr>
          <w:ilvl w:val="0"/>
          <w:numId w:val="3"/>
        </w:numPr>
      </w:pPr>
      <w:r>
        <w:t xml:space="preserve">undertaking enquiries in relation to abuse or neglect </w:t>
      </w:r>
    </w:p>
    <w:p w14:paraId="7EA9ED03" w14:textId="77777777" w:rsidR="00E82711" w:rsidRDefault="001A7765" w:rsidP="00E82711">
      <w:pPr>
        <w:pStyle w:val="ListParagraph"/>
        <w:numPr>
          <w:ilvl w:val="0"/>
          <w:numId w:val="3"/>
        </w:numPr>
      </w:pPr>
      <w:r>
        <w:t xml:space="preserve">assessing the risk </w:t>
      </w:r>
    </w:p>
    <w:p w14:paraId="57F67FB4" w14:textId="77777777" w:rsidR="00E82711" w:rsidRDefault="001A7765" w:rsidP="00E82711">
      <w:pPr>
        <w:pStyle w:val="ListParagraph"/>
        <w:numPr>
          <w:ilvl w:val="0"/>
          <w:numId w:val="3"/>
        </w:numPr>
      </w:pPr>
      <w:r>
        <w:t xml:space="preserve">developing or carrying out the safeguarding plan </w:t>
      </w:r>
    </w:p>
    <w:p w14:paraId="268E00B9" w14:textId="449408C3" w:rsidR="00E82711" w:rsidRDefault="001A7765" w:rsidP="00E82711">
      <w:pPr>
        <w:pStyle w:val="ListParagraph"/>
        <w:numPr>
          <w:ilvl w:val="0"/>
          <w:numId w:val="3"/>
        </w:numPr>
      </w:pPr>
      <w:r>
        <w:t xml:space="preserve">undertaking related enquiries </w:t>
      </w:r>
      <w:r w:rsidR="009C397F">
        <w:t>e.g.,</w:t>
      </w:r>
      <w:r>
        <w:t xml:space="preserve"> criminal, regulatory </w:t>
      </w:r>
    </w:p>
    <w:p w14:paraId="30BE7500" w14:textId="6B80B9E5" w:rsidR="00E82711" w:rsidRDefault="001A7765" w:rsidP="00E82711">
      <w:pPr>
        <w:pStyle w:val="ListParagraph"/>
        <w:numPr>
          <w:ilvl w:val="0"/>
          <w:numId w:val="3"/>
        </w:numPr>
      </w:pPr>
      <w:r>
        <w:t xml:space="preserve">taking other actions in relation to the organisation alleged to have caused harm </w:t>
      </w:r>
    </w:p>
    <w:p w14:paraId="159B58E5" w14:textId="214E6CB2" w:rsidR="001A7765" w:rsidRDefault="001A7765" w:rsidP="001A7765">
      <w:r>
        <w:t xml:space="preserve">In all cases where the Large Scale Enquiry is being considered involving a regulated service provider, the following must be informed and invited to </w:t>
      </w:r>
      <w:r w:rsidR="00F70CE2">
        <w:t xml:space="preserve">LSE </w:t>
      </w:r>
      <w:r w:rsidR="00E82711">
        <w:t>MASM</w:t>
      </w:r>
      <w:r>
        <w:t xml:space="preserve"> (and be offered copies of minutes irrespective of attendance):</w:t>
      </w:r>
    </w:p>
    <w:p w14:paraId="03ADFF25" w14:textId="77777777" w:rsidR="00E82711" w:rsidRDefault="00E82711" w:rsidP="00E82711">
      <w:pPr>
        <w:pStyle w:val="ListParagraph"/>
        <w:numPr>
          <w:ilvl w:val="0"/>
          <w:numId w:val="3"/>
        </w:numPr>
      </w:pPr>
      <w:r>
        <w:t xml:space="preserve">Care Quality Commission </w:t>
      </w:r>
    </w:p>
    <w:p w14:paraId="4521D986" w14:textId="77777777" w:rsidR="00E82711" w:rsidRDefault="00E82711" w:rsidP="00E82711">
      <w:pPr>
        <w:pStyle w:val="ListParagraph"/>
        <w:numPr>
          <w:ilvl w:val="0"/>
          <w:numId w:val="3"/>
        </w:numPr>
      </w:pPr>
      <w:r>
        <w:t>Contracting/Commissioning authorities</w:t>
      </w:r>
    </w:p>
    <w:p w14:paraId="4D9DECE7" w14:textId="6EC492B4" w:rsidR="00D86BD0" w:rsidRDefault="00E82711" w:rsidP="00682575">
      <w:pPr>
        <w:spacing w:after="360"/>
      </w:pPr>
      <w:r>
        <w:t>Where Large Scale Enquiry is undertaken in relation to an NHS Trust, the Trust should ensure its Chief Executive Officer and the Executive Officer for Safeguarding within the</w:t>
      </w:r>
      <w:r w:rsidR="00F70CE2">
        <w:t xml:space="preserve"> West Yorkshire </w:t>
      </w:r>
      <w:r>
        <w:t>I</w:t>
      </w:r>
      <w:r w:rsidR="00F70CE2">
        <w:t>ntegrated Care Board (WYI</w:t>
      </w:r>
      <w:r>
        <w:t>CB</w:t>
      </w:r>
      <w:r w:rsidR="00F70CE2">
        <w:t>)</w:t>
      </w:r>
      <w:r>
        <w:t xml:space="preserve"> are notified and involved/kept informed as requested. Similarly, where Large Scale Enquiry involves a Calderdale Metropolitan Borough Council (CMBC) Adults &amp; Health ‘in-house service’, the Director of Adult S</w:t>
      </w:r>
      <w:r w:rsidR="006D11A0">
        <w:t xml:space="preserve">ervices </w:t>
      </w:r>
      <w:r>
        <w:t xml:space="preserve">and Well-being (ASW) must be </w:t>
      </w:r>
      <w:r w:rsidR="006D11A0">
        <w:t>notified and</w:t>
      </w:r>
      <w:r>
        <w:t xml:space="preserve"> involved/kept informed as requested.</w:t>
      </w:r>
    </w:p>
    <w:p w14:paraId="07C019A3" w14:textId="483EC8CF" w:rsidR="00E82711" w:rsidRPr="00646EA0" w:rsidRDefault="00E82711" w:rsidP="00E60534">
      <w:pPr>
        <w:pStyle w:val="Heading3"/>
      </w:pPr>
      <w:bookmarkStart w:id="14" w:name="_Toc157067004"/>
      <w:r w:rsidRPr="00646EA0">
        <w:t xml:space="preserve">Involvement of </w:t>
      </w:r>
      <w:r w:rsidR="000220AC" w:rsidRPr="00646EA0">
        <w:t>A</w:t>
      </w:r>
      <w:r w:rsidRPr="00646EA0">
        <w:t xml:space="preserve">dults at </w:t>
      </w:r>
      <w:r w:rsidR="000220AC" w:rsidRPr="00646EA0">
        <w:t>R</w:t>
      </w:r>
      <w:r w:rsidRPr="00646EA0">
        <w:t xml:space="preserve">isk and </w:t>
      </w:r>
      <w:r w:rsidR="000220AC" w:rsidRPr="00646EA0">
        <w:t>T</w:t>
      </w:r>
      <w:r w:rsidRPr="00646EA0">
        <w:t xml:space="preserve">heir </w:t>
      </w:r>
      <w:r w:rsidR="000220AC" w:rsidRPr="00646EA0">
        <w:t>R</w:t>
      </w:r>
      <w:r w:rsidRPr="00646EA0">
        <w:t>elatives</w:t>
      </w:r>
      <w:r w:rsidR="009C397F" w:rsidRPr="00646EA0">
        <w:t>:</w:t>
      </w:r>
      <w:bookmarkEnd w:id="14"/>
      <w:r w:rsidRPr="00646EA0">
        <w:t xml:space="preserve"> </w:t>
      </w:r>
    </w:p>
    <w:p w14:paraId="6FA4267A" w14:textId="0DC84907" w:rsidR="00E82711" w:rsidRDefault="00E82711" w:rsidP="00E82711">
      <w:r>
        <w:t>The person at risk, and their relatives as appropriate, should be fully involved within individual safeguarding enquiries relating to them as set out in the</w:t>
      </w:r>
      <w:r w:rsidR="006D11A0" w:rsidRPr="006D11A0">
        <w:t xml:space="preserve"> </w:t>
      </w:r>
      <w:bookmarkStart w:id="15" w:name="_Hlk130560547"/>
      <w:r w:rsidR="00713E8F">
        <w:rPr>
          <w:rStyle w:val="ui-provider"/>
        </w:rPr>
        <w:fldChar w:fldCharType="begin"/>
      </w:r>
      <w:r w:rsidR="00713E8F">
        <w:rPr>
          <w:rStyle w:val="ui-provider"/>
        </w:rPr>
        <w:instrText xml:space="preserve"> HYPERLINK "https://wynyy.trixonline.co.uk/" </w:instrText>
      </w:r>
      <w:r w:rsidR="00713E8F">
        <w:rPr>
          <w:rStyle w:val="ui-provider"/>
        </w:rPr>
      </w:r>
      <w:r w:rsidR="00713E8F">
        <w:rPr>
          <w:rStyle w:val="ui-provider"/>
        </w:rPr>
        <w:fldChar w:fldCharType="separate"/>
      </w:r>
      <w:r w:rsidR="00187994" w:rsidRPr="00713E8F">
        <w:rPr>
          <w:rStyle w:val="Hyperlink"/>
        </w:rPr>
        <w:t>Joint Multi-Agency Safeguarding Adults Policy &amp; Procedures Bradford, Calderdale, Kirklees, North Yorkshire, Wakefield, And York</w:t>
      </w:r>
      <w:r w:rsidR="00713E8F">
        <w:rPr>
          <w:rStyle w:val="ui-provider"/>
        </w:rPr>
        <w:fldChar w:fldCharType="end"/>
      </w:r>
      <w:r w:rsidR="00187994">
        <w:t xml:space="preserve">. </w:t>
      </w:r>
      <w:bookmarkEnd w:id="15"/>
    </w:p>
    <w:p w14:paraId="0765133B" w14:textId="77777777" w:rsidR="00E82711" w:rsidRDefault="00E82711" w:rsidP="00E82711">
      <w:r>
        <w:t xml:space="preserve">The focus of the Large Scale Enquiry will however be on the collective issues and themes from a number of individual enquiries. For reasons of privacy and confidentiality, or the need to plan an </w:t>
      </w:r>
      <w:r>
        <w:lastRenderedPageBreak/>
        <w:t xml:space="preserve">enquiry, it may often not be appropriate for the person at risk or their relatives to attend a Large Scale Enquiries MASM. </w:t>
      </w:r>
    </w:p>
    <w:p w14:paraId="4B9F6A1E" w14:textId="7CCF4923" w:rsidR="00E82711" w:rsidRDefault="00E82711" w:rsidP="00E82711">
      <w:r>
        <w:t>The Large Scale Enquiry however should be informed by the views of those at risk and their representatives. As such the</w:t>
      </w:r>
      <w:r w:rsidR="00F70CE2">
        <w:t xml:space="preserve"> LSE</w:t>
      </w:r>
      <w:r>
        <w:t xml:space="preserve"> MASM Chair will need to consider how the views of the adult at risk and their relatives can be most appropriately included. These will often have already been raised within individual enquiries and some, may wish to offer further views in relation to the </w:t>
      </w:r>
      <w:r w:rsidR="005C5774">
        <w:t>L</w:t>
      </w:r>
      <w:r>
        <w:t xml:space="preserve">arge </w:t>
      </w:r>
      <w:r w:rsidR="005C5774">
        <w:t>S</w:t>
      </w:r>
      <w:r>
        <w:t xml:space="preserve">cale </w:t>
      </w:r>
      <w:r w:rsidR="005C5774">
        <w:t>E</w:t>
      </w:r>
      <w:r>
        <w:t xml:space="preserve">nquiry being undertaken. </w:t>
      </w:r>
    </w:p>
    <w:p w14:paraId="3DB6D6C4" w14:textId="0E8B1825" w:rsidR="00E82711" w:rsidRDefault="00E82711" w:rsidP="00E82711">
      <w:r>
        <w:t xml:space="preserve">Those individuals safeguarded through individual safeguarding enquiries should be offered feedback in relation to actions taken and decisions reached within the Large Scale Enquiry. Any implications for the person’s own care must be discussed and agreed with the individuals concerned. </w:t>
      </w:r>
    </w:p>
    <w:p w14:paraId="0F2FC248" w14:textId="37D666AB" w:rsidR="00D6303A" w:rsidRDefault="00D6303A" w:rsidP="00E82711">
      <w:r>
        <w:t xml:space="preserve">Identification of </w:t>
      </w:r>
      <w:r w:rsidR="00545F0A">
        <w:t xml:space="preserve">a </w:t>
      </w:r>
      <w:r>
        <w:t>nominated professional link-liaison for people and their families</w:t>
      </w:r>
      <w:r w:rsidR="00095E7D">
        <w:t xml:space="preserve"> </w:t>
      </w:r>
      <w:r w:rsidR="00545F0A">
        <w:t xml:space="preserve">will </w:t>
      </w:r>
      <w:r>
        <w:t xml:space="preserve">aid effective communication and </w:t>
      </w:r>
      <w:r w:rsidR="00F70CE2">
        <w:t xml:space="preserve">reduce </w:t>
      </w:r>
      <w:r>
        <w:t>anxieties and ensure co-production and voices heard as part of decision-making.</w:t>
      </w:r>
    </w:p>
    <w:p w14:paraId="2A59FD30" w14:textId="015D2E66" w:rsidR="00E82711" w:rsidRPr="00646EA0" w:rsidRDefault="00E82711" w:rsidP="00E60534">
      <w:pPr>
        <w:pStyle w:val="Heading3"/>
      </w:pPr>
      <w:bookmarkStart w:id="16" w:name="_Toc157067005"/>
      <w:r w:rsidRPr="00646EA0">
        <w:t xml:space="preserve">Involvement of the </w:t>
      </w:r>
      <w:r w:rsidR="000220AC" w:rsidRPr="00646EA0">
        <w:t>S</w:t>
      </w:r>
      <w:r w:rsidRPr="00646EA0">
        <w:t xml:space="preserve">ervice </w:t>
      </w:r>
      <w:r w:rsidR="000220AC" w:rsidRPr="00646EA0">
        <w:t>P</w:t>
      </w:r>
      <w:r w:rsidRPr="00646EA0">
        <w:t>rovider</w:t>
      </w:r>
      <w:r w:rsidR="009C397F" w:rsidRPr="00646EA0">
        <w:t>:</w:t>
      </w:r>
      <w:bookmarkEnd w:id="16"/>
    </w:p>
    <w:p w14:paraId="5952E810" w14:textId="3A880D66" w:rsidR="00E82711" w:rsidRDefault="00E82711" w:rsidP="00E82711">
      <w:r>
        <w:t xml:space="preserve">It is important that the service provider is involved as fully as possible in safeguarding concerns involving their service. </w:t>
      </w:r>
      <w:r w:rsidR="00FD725C">
        <w:t xml:space="preserve">The Chair of the LSE will direct the timing and the most appropriate team for informing the provider of the LSE process. </w:t>
      </w:r>
    </w:p>
    <w:p w14:paraId="5C9D8E8B" w14:textId="08E58FC3" w:rsidR="00E82711" w:rsidRDefault="00E82711" w:rsidP="00E82711">
      <w:r>
        <w:t>Depending on the size of the organisation</w:t>
      </w:r>
      <w:r w:rsidR="00545F0A">
        <w:t>,</w:t>
      </w:r>
      <w:r>
        <w:t xml:space="preserve"> the nature of the concerns</w:t>
      </w:r>
      <w:r w:rsidR="00545F0A">
        <w:t xml:space="preserve"> and</w:t>
      </w:r>
      <w:r>
        <w:t xml:space="preserve"> the individuals implicated, the appropriate representative for MASM might be for example, the manager, the </w:t>
      </w:r>
      <w:r w:rsidR="00B33EB0">
        <w:t>owner,</w:t>
      </w:r>
      <w:r>
        <w:t xml:space="preserve"> or the regional/company director. It is important that the representative is appropriately senior to respond on behalf of the organisation to the service level nature of the concerns. </w:t>
      </w:r>
    </w:p>
    <w:p w14:paraId="23725772" w14:textId="28E31B6C" w:rsidR="00E82711" w:rsidRDefault="00E82711" w:rsidP="00E82711">
      <w:r>
        <w:t xml:space="preserve">Where the given representative is directly implicated (or attendance may prejudice the planning of an enquiry) it may not be appropriate for them to be present at </w:t>
      </w:r>
      <w:r w:rsidR="00FD725C">
        <w:t>a</w:t>
      </w:r>
      <w:r>
        <w:t xml:space="preserve"> Planning Meeting. If this is the case, an alternative manager should be provided with an opportunity to attend to represent the service, for example, a regional manager. Communication with and involvement of the organisation must be maintained as fully as is possible</w:t>
      </w:r>
      <w:r w:rsidR="00FD725C">
        <w:t>, under the direction of the Chair of the LSE</w:t>
      </w:r>
      <w:r>
        <w:t>.</w:t>
      </w:r>
    </w:p>
    <w:p w14:paraId="749167EF" w14:textId="34CF660E" w:rsidR="00E82711" w:rsidRDefault="00E82711" w:rsidP="00E82711">
      <w:r>
        <w:t xml:space="preserve">The service provider's organisation should have the opportunity to respond to any concerns raised by the Large Scale Enquiry, and to be able to review the Formal Report and comment on its findings, as set out within the </w:t>
      </w:r>
      <w:r w:rsidR="00095E7D">
        <w:rPr>
          <w:rStyle w:val="ui-provider"/>
        </w:rPr>
        <w:t>Joint Multi-Agency Safeguarding Adults Policy &amp; Procedures Bradford, Calderdale, Kirklees, North Yorkshire, Wakefield, And York</w:t>
      </w:r>
      <w:r w:rsidR="00095E7D">
        <w:t>.</w:t>
      </w:r>
    </w:p>
    <w:p w14:paraId="33F675A9" w14:textId="3913CBA6" w:rsidR="001B6925" w:rsidRDefault="00E82711" w:rsidP="00E82711">
      <w:r>
        <w:t>An appropriate representative of the service provider must be invited to attend the Outcome Meeting.</w:t>
      </w:r>
    </w:p>
    <w:p w14:paraId="70B1A4FC" w14:textId="58D4BA64" w:rsidR="00E82711" w:rsidRPr="0016096A" w:rsidRDefault="00E82711" w:rsidP="00E60534">
      <w:pPr>
        <w:pStyle w:val="Heading3"/>
      </w:pPr>
      <w:bookmarkStart w:id="17" w:name="_Toc157067006"/>
      <w:r w:rsidRPr="0016096A">
        <w:t xml:space="preserve">Involvement and </w:t>
      </w:r>
      <w:r w:rsidR="000220AC" w:rsidRPr="0016096A">
        <w:t>R</w:t>
      </w:r>
      <w:r w:rsidRPr="0016096A">
        <w:t xml:space="preserve">esponsibilities of </w:t>
      </w:r>
      <w:r w:rsidR="000220AC" w:rsidRPr="0016096A">
        <w:t>N</w:t>
      </w:r>
      <w:r w:rsidRPr="0016096A">
        <w:t xml:space="preserve">on-Calderdale </w:t>
      </w:r>
      <w:r w:rsidR="000220AC" w:rsidRPr="0016096A">
        <w:t>P</w:t>
      </w:r>
      <w:r w:rsidRPr="0016096A">
        <w:t xml:space="preserve">lacing </w:t>
      </w:r>
      <w:r w:rsidR="000220AC" w:rsidRPr="0016096A">
        <w:t>A</w:t>
      </w:r>
      <w:r w:rsidRPr="0016096A">
        <w:t>uthorities</w:t>
      </w:r>
      <w:r w:rsidR="009C397F" w:rsidRPr="0016096A">
        <w:t>:</w:t>
      </w:r>
      <w:bookmarkEnd w:id="17"/>
    </w:p>
    <w:p w14:paraId="6A133A00" w14:textId="339D6DD9" w:rsidR="00E82711" w:rsidRDefault="00E82711" w:rsidP="00E82711">
      <w:r>
        <w:t xml:space="preserve">Where a person at risk is placed in a service by non-Calderdale placing authorities, then those placing authorities should also be invited to the </w:t>
      </w:r>
      <w:r w:rsidR="000220AC">
        <w:t xml:space="preserve">LSE </w:t>
      </w:r>
      <w:r>
        <w:t xml:space="preserve">MASM. </w:t>
      </w:r>
    </w:p>
    <w:p w14:paraId="7EA505E9" w14:textId="42951080" w:rsidR="00E82711" w:rsidRDefault="00E82711" w:rsidP="007C3408">
      <w:pPr>
        <w:spacing w:after="360"/>
      </w:pPr>
      <w:r>
        <w:t xml:space="preserve">The </w:t>
      </w:r>
      <w:hyperlink r:id="rId13" w:history="1">
        <w:r w:rsidRPr="00F17122">
          <w:rPr>
            <w:rStyle w:val="Hyperlink"/>
          </w:rPr>
          <w:t>ADASS (2016) Out-of-Area Safeguarding Adults Arrangements: Guidance for Inter-Authority Safeguarding Adults Enquiry and Protection Arrangements</w:t>
        </w:r>
      </w:hyperlink>
      <w:r>
        <w:t xml:space="preserve"> establishes how authorities should work together in these circumstances. Key principles of this guidance are summarised in Section </w:t>
      </w:r>
      <w:r w:rsidR="00437162">
        <w:t>7</w:t>
      </w:r>
      <w:r>
        <w:t>.</w:t>
      </w:r>
    </w:p>
    <w:p w14:paraId="1BE0BBC6" w14:textId="7686B965" w:rsidR="00E82711" w:rsidRPr="000D5232" w:rsidRDefault="00E82711" w:rsidP="00236E0D">
      <w:pPr>
        <w:pStyle w:val="Heading2"/>
      </w:pPr>
      <w:bookmarkStart w:id="18" w:name="_Toc157067007"/>
      <w:r w:rsidRPr="000D5232">
        <w:t xml:space="preserve">Enquiry </w:t>
      </w:r>
      <w:r w:rsidR="000220AC" w:rsidRPr="000D5232">
        <w:t>P</w:t>
      </w:r>
      <w:r w:rsidRPr="000D5232">
        <w:t>lanning</w:t>
      </w:r>
      <w:r w:rsidR="009C397F" w:rsidRPr="000D5232">
        <w:t>:</w:t>
      </w:r>
      <w:bookmarkEnd w:id="18"/>
      <w:r w:rsidRPr="000D5232">
        <w:t xml:space="preserve"> </w:t>
      </w:r>
    </w:p>
    <w:p w14:paraId="179065C9" w14:textId="44C1E981" w:rsidR="00E82711" w:rsidRDefault="00E82711" w:rsidP="00E82711">
      <w:r>
        <w:t xml:space="preserve">The purpose of the safeguarding enquiry is set out within the </w:t>
      </w:r>
      <w:hyperlink r:id="rId14" w:history="1">
        <w:r w:rsidR="00F70CE2" w:rsidRPr="00187994">
          <w:rPr>
            <w:rStyle w:val="Hyperlink"/>
          </w:rPr>
          <w:t xml:space="preserve"> Joint Multi-Agency Safeguarding Adults Policy &amp; Procedures Bradford, Calderdale, Kirklees, North Yorkshire, Wakefield, And York</w:t>
        </w:r>
      </w:hyperlink>
      <w:r w:rsidR="00F70CE2">
        <w:rPr>
          <w:rStyle w:val="ui-provider"/>
        </w:rPr>
        <w:t xml:space="preserve"> </w:t>
      </w:r>
    </w:p>
    <w:p w14:paraId="199D951B" w14:textId="141A1F51" w:rsidR="00E82711" w:rsidRDefault="00E82711" w:rsidP="00E82711">
      <w:r>
        <w:lastRenderedPageBreak/>
        <w:t xml:space="preserve">The decision to undertake a Large Scale Enquiry will need to be made by the </w:t>
      </w:r>
      <w:r w:rsidR="009146F9">
        <w:t xml:space="preserve">agreed lead </w:t>
      </w:r>
      <w:r>
        <w:t>Local Authority</w:t>
      </w:r>
      <w:r w:rsidR="00FD725C">
        <w:t>, following consultation with stakeholders</w:t>
      </w:r>
      <w:r>
        <w:t xml:space="preserve">. A Large Scale Enquiry is separate from an individual enquiry and will require a separate Formal Report. Consideration should be given as to whether the Safeguarding Coordinator for the Large Scale Enquiry should be the same person </w:t>
      </w:r>
      <w:r w:rsidR="000F54F8">
        <w:t xml:space="preserve">/ one of the same people </w:t>
      </w:r>
      <w:r>
        <w:t xml:space="preserve">who has overseen individual enquiries. This will often be </w:t>
      </w:r>
      <w:r w:rsidR="00B33EB0">
        <w:t>advantageous,</w:t>
      </w:r>
      <w:r>
        <w:t xml:space="preserve"> but it may not always be appropriate or necessary. </w:t>
      </w:r>
    </w:p>
    <w:p w14:paraId="4D6DF26B" w14:textId="77777777" w:rsidR="00E82711" w:rsidRDefault="00E82711" w:rsidP="00E82711">
      <w:r>
        <w:t xml:space="preserve">When undertaking a Large Scale Enquiry, it will be necessary to: </w:t>
      </w:r>
    </w:p>
    <w:p w14:paraId="0DF9C2E6" w14:textId="77777777" w:rsidR="00E82711" w:rsidRDefault="00E82711" w:rsidP="00E82711">
      <w:pPr>
        <w:pStyle w:val="ListParagraph"/>
        <w:numPr>
          <w:ilvl w:val="0"/>
          <w:numId w:val="3"/>
        </w:numPr>
      </w:pPr>
      <w:r>
        <w:t xml:space="preserve">draw upon and summarise the relevant aspects and conclusions of any individual enquiries </w:t>
      </w:r>
    </w:p>
    <w:p w14:paraId="41B6A4BB" w14:textId="77777777" w:rsidR="00E82711" w:rsidRDefault="00E82711" w:rsidP="00E82711">
      <w:pPr>
        <w:pStyle w:val="ListParagraph"/>
        <w:numPr>
          <w:ilvl w:val="0"/>
          <w:numId w:val="3"/>
        </w:numPr>
      </w:pPr>
      <w:r>
        <w:t xml:space="preserve">focus on the service wide concerns and/or common themes of individual enquiries and the underlying causes of the alleged abuse. </w:t>
      </w:r>
    </w:p>
    <w:p w14:paraId="16DA7619" w14:textId="77777777" w:rsidR="00E82711" w:rsidRDefault="00E82711" w:rsidP="00E82711">
      <w:pPr>
        <w:pStyle w:val="ListParagraph"/>
        <w:numPr>
          <w:ilvl w:val="0"/>
          <w:numId w:val="3"/>
        </w:numPr>
      </w:pPr>
      <w:r>
        <w:t xml:space="preserve">consider the need for additional enquiries, as required, to understand the presenting issues such as relevant policies, procedures, </w:t>
      </w:r>
      <w:r w:rsidR="00B33EB0">
        <w:t>training,</w:t>
      </w:r>
      <w:r>
        <w:t xml:space="preserve"> and staff practices. </w:t>
      </w:r>
    </w:p>
    <w:p w14:paraId="55F16097" w14:textId="77777777" w:rsidR="00E82711" w:rsidRDefault="00E82711" w:rsidP="00E82711">
      <w:pPr>
        <w:pStyle w:val="ListParagraph"/>
        <w:numPr>
          <w:ilvl w:val="0"/>
          <w:numId w:val="3"/>
        </w:numPr>
      </w:pPr>
      <w:r>
        <w:t xml:space="preserve">provide opportunity for the service provider to respond to organisational abuse concerns and Large Scale Enquiry findings (this is in addition to being able to respond to the respective individual enquiries). </w:t>
      </w:r>
    </w:p>
    <w:p w14:paraId="281373F2" w14:textId="77777777" w:rsidR="00E82711" w:rsidRDefault="00E82711" w:rsidP="007C3408">
      <w:pPr>
        <w:spacing w:after="360"/>
      </w:pPr>
      <w:r>
        <w:t>Large Scale Enquiries should be as timely as possible, to ensure underlying issues and concerns are identified and addressed. For this reason, once a decision has been made to undertake the Large Scale Enquiry, it may not be possible to include subsequent individual enquiries within its scope, as this may prevent the Large Scale Enquiry from concluding and delay required safeguarding arrangements being put in place. A judgement will be required by the Safeguarding Coordinator.</w:t>
      </w:r>
    </w:p>
    <w:p w14:paraId="0D53E4C2" w14:textId="637E11F8" w:rsidR="00212101" w:rsidRPr="00187994" w:rsidRDefault="00E82711" w:rsidP="00236E0D">
      <w:pPr>
        <w:pStyle w:val="Heading2"/>
      </w:pPr>
      <w:bookmarkStart w:id="19" w:name="_Toc157067008"/>
      <w:r w:rsidRPr="00187994">
        <w:t xml:space="preserve">Who </w:t>
      </w:r>
      <w:r w:rsidR="000220AC">
        <w:t>S</w:t>
      </w:r>
      <w:r w:rsidRPr="00187994">
        <w:t xml:space="preserve">hould </w:t>
      </w:r>
      <w:r w:rsidR="000220AC">
        <w:t>U</w:t>
      </w:r>
      <w:r w:rsidRPr="00187994">
        <w:t>ndertake a Large Scale Enquiry?</w:t>
      </w:r>
      <w:bookmarkEnd w:id="19"/>
      <w:r w:rsidRPr="00187994">
        <w:t xml:space="preserve"> </w:t>
      </w:r>
    </w:p>
    <w:p w14:paraId="667B91C8" w14:textId="197BAF05" w:rsidR="00212101" w:rsidRDefault="00E82711" w:rsidP="00212101">
      <w:r>
        <w:t>The local authority will appoint a Safeguarding Coordinator for the Large Scale Enquiry, who will need to determine how the enquiry is undertaken</w:t>
      </w:r>
      <w:r w:rsidR="00A43A2D">
        <w:t xml:space="preserve"> whilst adhering to this policy</w:t>
      </w:r>
      <w:r>
        <w:t xml:space="preserve">. </w:t>
      </w:r>
    </w:p>
    <w:p w14:paraId="2D94A569" w14:textId="0980AA19" w:rsidR="00212101" w:rsidRDefault="00E82711" w:rsidP="00212101">
      <w:r>
        <w:t>As Large Scale Enquiries involve situations where there are serious multiple</w:t>
      </w:r>
      <w:r w:rsidR="00A43A2D">
        <w:t xml:space="preserve"> safeguarding</w:t>
      </w:r>
      <w:r>
        <w:t xml:space="preserve"> concerns or repeated instances of abuse or neglect and/or where managers/senior managers may be implicated within the organisation's practices, it will usually be appropriate for this to be undertaken by the </w:t>
      </w:r>
      <w:r w:rsidR="00884DF3">
        <w:t>L</w:t>
      </w:r>
      <w:r>
        <w:t xml:space="preserve">ocal </w:t>
      </w:r>
      <w:r w:rsidR="00884DF3">
        <w:t>A</w:t>
      </w:r>
      <w:r>
        <w:t xml:space="preserve">uthority so as to achieve the safe outcomes required from the Large Scale Enquiry. </w:t>
      </w:r>
    </w:p>
    <w:p w14:paraId="3A9A7B5F" w14:textId="415F1B2E" w:rsidR="00212101" w:rsidRDefault="00E82711" w:rsidP="00212101">
      <w:r>
        <w:t xml:space="preserve">Where undertaken by the </w:t>
      </w:r>
      <w:r w:rsidR="00212101">
        <w:t>L</w:t>
      </w:r>
      <w:r>
        <w:t xml:space="preserve">ocal </w:t>
      </w:r>
      <w:r w:rsidR="00212101">
        <w:t>A</w:t>
      </w:r>
      <w:r>
        <w:t xml:space="preserve">uthority, the Large Scale Enquiry will often be </w:t>
      </w:r>
      <w:r w:rsidR="00095E7D">
        <w:t>led</w:t>
      </w:r>
      <w:r>
        <w:t xml:space="preserve"> by the person who acted as Safeguarding Coordinator for the individual enquiries; with a more senior manager adopting the role of the Safeguarding Coordinator for the Large Scale Enquiry. This has the benefits of ensuring the person undertaking the enquiry has a good knowledge and understanding of the individual safeguarding concerns. </w:t>
      </w:r>
    </w:p>
    <w:p w14:paraId="4C3277AE" w14:textId="732D72D5" w:rsidR="00212101" w:rsidRPr="00212101" w:rsidRDefault="00E82711" w:rsidP="00E60534">
      <w:pPr>
        <w:pStyle w:val="Heading3"/>
      </w:pPr>
      <w:bookmarkStart w:id="20" w:name="_Toc157067009"/>
      <w:r w:rsidRPr="00212101">
        <w:t xml:space="preserve">Safeguarding </w:t>
      </w:r>
      <w:r w:rsidR="000220AC">
        <w:t>P</w:t>
      </w:r>
      <w:r w:rsidRPr="00212101">
        <w:t>lans</w:t>
      </w:r>
      <w:r w:rsidR="009C397F">
        <w:t>:</w:t>
      </w:r>
      <w:bookmarkEnd w:id="20"/>
      <w:r w:rsidRPr="00212101">
        <w:t xml:space="preserve"> </w:t>
      </w:r>
    </w:p>
    <w:p w14:paraId="47262F18" w14:textId="7DE72963" w:rsidR="00212101" w:rsidRDefault="00E82711" w:rsidP="00212101">
      <w:r>
        <w:t>Individual safeguarding enquiries will focus on the person’s individual safeguarding needs</w:t>
      </w:r>
      <w:r w:rsidR="000F54F8">
        <w:t xml:space="preserve"> and desired outcomes</w:t>
      </w:r>
      <w:r>
        <w:t xml:space="preserve">. </w:t>
      </w:r>
    </w:p>
    <w:p w14:paraId="1EE9803D" w14:textId="1CD7DBDE" w:rsidR="00212101" w:rsidRDefault="00E82711" w:rsidP="00212101">
      <w:r>
        <w:t xml:space="preserve">The Large Scale Enquiry will need to assess the risk to </w:t>
      </w:r>
      <w:r w:rsidR="000F54F8">
        <w:t xml:space="preserve">all </w:t>
      </w:r>
      <w:r>
        <w:t>individuals within the service and consider the need for additional arrangements in relation to specific individuals and/or service users more generally. Service wide actions may include staff guidance, reviews of policies and procedures, reviews of staffing numbers, immediate training needs</w:t>
      </w:r>
      <w:r w:rsidR="00884DF3">
        <w:t>,</w:t>
      </w:r>
      <w:r>
        <w:t xml:space="preserve"> amongst others. </w:t>
      </w:r>
    </w:p>
    <w:p w14:paraId="7EE979CD" w14:textId="77777777" w:rsidR="00212101" w:rsidRDefault="00E82711" w:rsidP="00212101">
      <w:r>
        <w:t xml:space="preserve">Where there are proposed changes to individual service users/patients care plans they will need to be consulted/informed appropriately before changes are made. </w:t>
      </w:r>
    </w:p>
    <w:p w14:paraId="5DF29EEA" w14:textId="318622B8" w:rsidR="00212101" w:rsidRDefault="00E82711" w:rsidP="00212101">
      <w:r>
        <w:lastRenderedPageBreak/>
        <w:t xml:space="preserve">Additional service improvements may be separately required by </w:t>
      </w:r>
      <w:r w:rsidR="00884DF3">
        <w:t>c</w:t>
      </w:r>
      <w:r>
        <w:t>ontracting/ commissioning authorities and the Care Quality Commission (CQC)</w:t>
      </w:r>
      <w:r w:rsidR="00884DF3">
        <w:t>,</w:t>
      </w:r>
      <w:r>
        <w:t xml:space="preserve"> that continue outside of the safeguarding adults procedures. </w:t>
      </w:r>
    </w:p>
    <w:p w14:paraId="3FC75126" w14:textId="71925F3D" w:rsidR="00212101" w:rsidRPr="00D27916" w:rsidRDefault="00D1310A" w:rsidP="00E60534">
      <w:pPr>
        <w:pStyle w:val="Heading3"/>
      </w:pPr>
      <w:bookmarkStart w:id="21" w:name="_Toc157067010"/>
      <w:r w:rsidRPr="00D27916">
        <w:t xml:space="preserve">LSE </w:t>
      </w:r>
      <w:r w:rsidR="00212101" w:rsidRPr="00B76A43">
        <w:t>MASM</w:t>
      </w:r>
      <w:r w:rsidR="00E82711" w:rsidRPr="00D27916">
        <w:t xml:space="preserve"> </w:t>
      </w:r>
      <w:r w:rsidR="000220AC" w:rsidRPr="00D27916">
        <w:t>M</w:t>
      </w:r>
      <w:r w:rsidR="00E82711" w:rsidRPr="00D27916">
        <w:t>eetings</w:t>
      </w:r>
      <w:r w:rsidR="009C397F" w:rsidRPr="00D27916">
        <w:t>:</w:t>
      </w:r>
      <w:bookmarkEnd w:id="21"/>
      <w:r w:rsidR="00E82711" w:rsidRPr="00D27916">
        <w:t xml:space="preserve"> </w:t>
      </w:r>
    </w:p>
    <w:p w14:paraId="5C80E5FC" w14:textId="015EE3FD" w:rsidR="00E82711" w:rsidRDefault="00E82711" w:rsidP="00212101">
      <w:r>
        <w:t xml:space="preserve">Where a Large Scale Enquiry has been undertaken, </w:t>
      </w:r>
      <w:r w:rsidR="005F1752">
        <w:t>an</w:t>
      </w:r>
      <w:r w:rsidR="00212101">
        <w:t xml:space="preserve"> </w:t>
      </w:r>
      <w:r w:rsidR="00154A64">
        <w:t xml:space="preserve">LSE </w:t>
      </w:r>
      <w:r w:rsidR="00212101">
        <w:t>MASM</w:t>
      </w:r>
      <w:r>
        <w:t>, chaired by an appropriate</w:t>
      </w:r>
      <w:r w:rsidR="00490D90">
        <w:t xml:space="preserve"> </w:t>
      </w:r>
      <w:r w:rsidR="009A6E2F">
        <w:t>senior manager</w:t>
      </w:r>
      <w:r>
        <w:t xml:space="preserve"> in the </w:t>
      </w:r>
      <w:r w:rsidR="00212101">
        <w:t>L</w:t>
      </w:r>
      <w:r>
        <w:t xml:space="preserve">ocal </w:t>
      </w:r>
      <w:r w:rsidR="00212101">
        <w:t>A</w:t>
      </w:r>
      <w:r>
        <w:t xml:space="preserve">uthority, will always be required. Enquiries undertaken in relation to particular individuals should be completed and the respective </w:t>
      </w:r>
      <w:r w:rsidR="00212101">
        <w:t xml:space="preserve">MASM </w:t>
      </w:r>
      <w:r>
        <w:t>held prior to the Large Scale Enquiry Outcome Meeting wherever possible. This will enable the findings to inform the Large Scale Enquiry Report and Outcome Meeting.</w:t>
      </w:r>
    </w:p>
    <w:p w14:paraId="284798A7" w14:textId="49A155F5" w:rsidR="00212101" w:rsidRPr="00D27916" w:rsidRDefault="00212101" w:rsidP="00E60534">
      <w:pPr>
        <w:pStyle w:val="Heading3"/>
      </w:pPr>
      <w:bookmarkStart w:id="22" w:name="_Toc157067011"/>
      <w:r w:rsidRPr="00D27916">
        <w:t xml:space="preserve">Informing </w:t>
      </w:r>
      <w:r w:rsidR="000220AC" w:rsidRPr="00D27916">
        <w:t>W</w:t>
      </w:r>
      <w:r w:rsidRPr="00D27916">
        <w:t xml:space="preserve">ider </w:t>
      </w:r>
      <w:r w:rsidR="000220AC" w:rsidRPr="00D27916">
        <w:t>S</w:t>
      </w:r>
      <w:r w:rsidRPr="00D27916">
        <w:t xml:space="preserve">ervice </w:t>
      </w:r>
      <w:r w:rsidR="000220AC" w:rsidRPr="00D27916">
        <w:t>U</w:t>
      </w:r>
      <w:r w:rsidRPr="00D27916">
        <w:t>sers/</w:t>
      </w:r>
      <w:r w:rsidR="000220AC" w:rsidRPr="00D27916">
        <w:t>P</w:t>
      </w:r>
      <w:r w:rsidRPr="00D27916">
        <w:t>atients</w:t>
      </w:r>
      <w:r w:rsidR="009C397F" w:rsidRPr="00D27916">
        <w:t>:</w:t>
      </w:r>
      <w:bookmarkEnd w:id="22"/>
      <w:r w:rsidRPr="00D27916">
        <w:t xml:space="preserve"> </w:t>
      </w:r>
    </w:p>
    <w:p w14:paraId="5DB7FC55" w14:textId="1CEDCAD0" w:rsidR="00212101" w:rsidRDefault="009E29A2" w:rsidP="00212101">
      <w:r>
        <w:t xml:space="preserve">In most circumstances there will </w:t>
      </w:r>
      <w:r w:rsidR="00A259DA">
        <w:t>be a</w:t>
      </w:r>
      <w:r w:rsidR="00212101">
        <w:t xml:space="preserve"> need to inform wider service user/patients of the nature of the concerns and the actions being taken to respond to these. This will be particularly relevant where there are widespread concerns, and where clear communication will help to reassure wider service users/patients and their representatives of actions being taken. Such communications will usually be undertaken </w:t>
      </w:r>
      <w:r w:rsidR="00187994">
        <w:t>in partnership with</w:t>
      </w:r>
      <w:r w:rsidR="00212101">
        <w:t xml:space="preserve"> the service provider, who will be best place</w:t>
      </w:r>
      <w:r w:rsidR="00187994">
        <w:t>d</w:t>
      </w:r>
      <w:r w:rsidR="00212101">
        <w:t xml:space="preserve"> to respond to individual concerns of their service users/patients. </w:t>
      </w:r>
      <w:r w:rsidR="000F54F8">
        <w:t>The decisions regarding informing wider service users and patients of the concerns and actions being taken in response to these will taken on a case by case basis.</w:t>
      </w:r>
    </w:p>
    <w:p w14:paraId="016B6F26" w14:textId="02D2671D" w:rsidR="008700DB" w:rsidRDefault="008700DB" w:rsidP="00212101">
      <w:r>
        <w:t xml:space="preserve">At the start of the LSE process the safeguarding coordinator should ensure that details of all service users </w:t>
      </w:r>
      <w:r w:rsidR="00A515E2">
        <w:t xml:space="preserve">are </w:t>
      </w:r>
      <w:r>
        <w:t xml:space="preserve">collated, this would normally include contact information for the service user and family members / advocate / </w:t>
      </w:r>
      <w:r w:rsidR="008576EF">
        <w:t xml:space="preserve">Lasting Power of </w:t>
      </w:r>
      <w:r w:rsidR="00A259DA">
        <w:t>Attorney /</w:t>
      </w:r>
      <w:r w:rsidR="008576EF">
        <w:t xml:space="preserve">Court Appointed </w:t>
      </w:r>
      <w:r w:rsidR="00A259DA">
        <w:t>Deputy (</w:t>
      </w:r>
      <w:r>
        <w:t xml:space="preserve">where </w:t>
      </w:r>
      <w:r w:rsidR="00A259DA">
        <w:t>appropriate</w:t>
      </w:r>
      <w:r w:rsidR="001D1051">
        <w:t>), host</w:t>
      </w:r>
      <w:r>
        <w:t xml:space="preserve"> authority and details of funding arrangements</w:t>
      </w:r>
      <w:r w:rsidR="00A515E2">
        <w:t>. This could also include relatives of any service users who have died prior to the investigation taking place</w:t>
      </w:r>
    </w:p>
    <w:p w14:paraId="76583586" w14:textId="49007CE4" w:rsidR="00212101" w:rsidRPr="00D27916" w:rsidRDefault="00212101" w:rsidP="00E60534">
      <w:pPr>
        <w:pStyle w:val="Heading3"/>
      </w:pPr>
      <w:bookmarkStart w:id="23" w:name="_Toc157067012"/>
      <w:r w:rsidRPr="00D27916">
        <w:t xml:space="preserve">Wider </w:t>
      </w:r>
      <w:r w:rsidR="000220AC" w:rsidRPr="00D27916">
        <w:t>S</w:t>
      </w:r>
      <w:r w:rsidRPr="00D27916">
        <w:t xml:space="preserve">ervice </w:t>
      </w:r>
      <w:r w:rsidR="000220AC" w:rsidRPr="00D27916">
        <w:t>U</w:t>
      </w:r>
      <w:r w:rsidRPr="00D27916">
        <w:t>ser/</w:t>
      </w:r>
      <w:r w:rsidR="000220AC" w:rsidRPr="00D27916">
        <w:t>P</w:t>
      </w:r>
      <w:r w:rsidRPr="00D27916">
        <w:t xml:space="preserve">atient </w:t>
      </w:r>
      <w:r w:rsidR="000220AC" w:rsidRPr="00D27916">
        <w:t>R</w:t>
      </w:r>
      <w:r w:rsidRPr="00D27916">
        <w:t>eviews</w:t>
      </w:r>
      <w:r w:rsidR="009C397F" w:rsidRPr="00D27916">
        <w:t>:</w:t>
      </w:r>
      <w:bookmarkEnd w:id="23"/>
      <w:r w:rsidRPr="00D27916">
        <w:t xml:space="preserve"> </w:t>
      </w:r>
    </w:p>
    <w:p w14:paraId="310A3E0E" w14:textId="77777777" w:rsidR="00212101" w:rsidRDefault="00212101" w:rsidP="00212101">
      <w:r>
        <w:t xml:space="preserve">As part of undertaking a Large Scale Enquiry it may become apparent that there are service users/patients, who do not require the support of the multi-agency safeguarding procedures, but who nonetheless would benefit from a review of their needs. </w:t>
      </w:r>
    </w:p>
    <w:p w14:paraId="70FB79F9" w14:textId="2B9E4BFE" w:rsidR="00212101" w:rsidRDefault="00212101" w:rsidP="00212101">
      <w:r>
        <w:t xml:space="preserve">The need for such reviews of individual service users/patients' needs and provision may therefore also be required, alongside or subsequent to the Large Scale Enquiry. It is important that the service user/patient, their </w:t>
      </w:r>
      <w:r w:rsidR="00B33EB0">
        <w:t>relatives,</w:t>
      </w:r>
      <w:r>
        <w:t xml:space="preserve"> or representatives are appropriately involved in such reviews. Where placements are commissioned by non-Calderdale Commissioning authorities, the undertaking of reviews will be the responsibility of the relevant commissioning authority. </w:t>
      </w:r>
      <w:r w:rsidR="00FD725C">
        <w:t xml:space="preserve">This is the responsibility of the CMBC </w:t>
      </w:r>
      <w:r w:rsidR="00FD725C">
        <w:rPr>
          <w:rStyle w:val="ui-provider"/>
        </w:rPr>
        <w:t>Integrated Commissioning, Contracts and Quality Service</w:t>
      </w:r>
      <w:r w:rsidR="009A6E2F">
        <w:rPr>
          <w:rStyle w:val="ui-provider"/>
        </w:rPr>
        <w:t xml:space="preserve"> </w:t>
      </w:r>
      <w:r w:rsidR="009A6E2F">
        <w:t>IC, C&amp;Q service to coordinate this for their commissioned placements and the responsibility of the WYICB to do so for their commissioned placements</w:t>
      </w:r>
      <w:r w:rsidR="009A6E2F" w:rsidDel="009A6E2F">
        <w:t xml:space="preserve"> </w:t>
      </w:r>
    </w:p>
    <w:p w14:paraId="7A832BF5" w14:textId="5D05567F" w:rsidR="00212101" w:rsidRPr="00D27916" w:rsidRDefault="00212101" w:rsidP="00E60534">
      <w:pPr>
        <w:pStyle w:val="Heading3"/>
      </w:pPr>
      <w:bookmarkStart w:id="24" w:name="_Toc157067013"/>
      <w:r w:rsidRPr="00D27916">
        <w:t>Media Interest</w:t>
      </w:r>
      <w:r w:rsidR="009C397F" w:rsidRPr="00D27916">
        <w:t>:</w:t>
      </w:r>
      <w:bookmarkEnd w:id="24"/>
      <w:r w:rsidRPr="00D27916">
        <w:t xml:space="preserve"> </w:t>
      </w:r>
    </w:p>
    <w:p w14:paraId="153A426E" w14:textId="7EC7DFBB" w:rsidR="00212101" w:rsidRDefault="00212101" w:rsidP="00212101">
      <w:r>
        <w:t xml:space="preserve">Safeguarding Coordinators, and their line </w:t>
      </w:r>
      <w:r w:rsidR="009B398C">
        <w:t>manager(s)</w:t>
      </w:r>
      <w:r>
        <w:t>, including Chief Executive Officer (</w:t>
      </w:r>
      <w:r w:rsidR="009E29A2">
        <w:t>Calderdale Cares Partnership / WYICB</w:t>
      </w:r>
      <w:r>
        <w:t xml:space="preserve">) or Director (Adult Social Care) and the relevant communications/media team must be informed of any media interest as soon as possible. </w:t>
      </w:r>
    </w:p>
    <w:p w14:paraId="77132324" w14:textId="77777777" w:rsidR="00212101" w:rsidRDefault="00212101" w:rsidP="00212101">
      <w:r>
        <w:t xml:space="preserve">Under no circumstances should Safeguarding Coordinators or those undertaking enquiries give a comment or interview to the press. </w:t>
      </w:r>
    </w:p>
    <w:p w14:paraId="34380A39" w14:textId="1E8F2697" w:rsidR="00212101" w:rsidRPr="00173FF4" w:rsidRDefault="00212101" w:rsidP="00E60534">
      <w:pPr>
        <w:pStyle w:val="Heading3"/>
      </w:pPr>
      <w:bookmarkStart w:id="25" w:name="_Toc157067014"/>
      <w:r w:rsidRPr="00173FF4">
        <w:lastRenderedPageBreak/>
        <w:t>Police Involvement</w:t>
      </w:r>
      <w:r w:rsidR="009C397F" w:rsidRPr="00173FF4">
        <w:t>:</w:t>
      </w:r>
      <w:bookmarkEnd w:id="25"/>
      <w:r w:rsidRPr="00173FF4">
        <w:t xml:space="preserve"> </w:t>
      </w:r>
    </w:p>
    <w:p w14:paraId="64ED0725" w14:textId="77777777" w:rsidR="00212101" w:rsidRDefault="00212101" w:rsidP="00212101">
      <w:r>
        <w:t xml:space="preserve">There may be circumstances where the findings from individual enquiries and Large Scale Enquiries, indicate potential offences. Whilst concerns may relate to offences committed by individuals; they may also be committed by services/organisations, by virtue of how their arrangements are managed or organised. For example: </w:t>
      </w:r>
    </w:p>
    <w:p w14:paraId="7437F97E" w14:textId="471297D3" w:rsidR="00212101" w:rsidRDefault="00212101" w:rsidP="00A259DA">
      <w:pPr>
        <w:pStyle w:val="ListParagraph"/>
        <w:numPr>
          <w:ilvl w:val="0"/>
          <w:numId w:val="32"/>
        </w:numPr>
      </w:pPr>
      <w:r>
        <w:t xml:space="preserve">Ill treatment and </w:t>
      </w:r>
      <w:r w:rsidR="00884DF3">
        <w:t>w</w:t>
      </w:r>
      <w:r>
        <w:t xml:space="preserve">ilful neglect: provider offence - </w:t>
      </w:r>
      <w:hyperlink r:id="rId15" w:history="1">
        <w:r>
          <w:rPr>
            <w:rStyle w:val="Hyperlink"/>
          </w:rPr>
          <w:t>Criminal Justice and Courts Act 2015 (legislation.gov.uk)</w:t>
        </w:r>
      </w:hyperlink>
    </w:p>
    <w:p w14:paraId="226B5BEC" w14:textId="2D8C8A46" w:rsidR="00212101" w:rsidRDefault="00212101" w:rsidP="00A259DA">
      <w:pPr>
        <w:pStyle w:val="ListParagraph"/>
        <w:numPr>
          <w:ilvl w:val="0"/>
          <w:numId w:val="32"/>
        </w:numPr>
      </w:pPr>
      <w:r>
        <w:t>Corporate Manslaughter and Corporate Homicide Act 2007 (</w:t>
      </w:r>
      <w:hyperlink r:id="rId16" w:history="1">
        <w:r>
          <w:rPr>
            <w:rStyle w:val="Hyperlink"/>
          </w:rPr>
          <w:t>Corporate Manslaughter and Corporate Homicide Act 2007 (legislation.gov.uk)</w:t>
        </w:r>
      </w:hyperlink>
    </w:p>
    <w:p w14:paraId="500295D1" w14:textId="0D8BCF27" w:rsidR="00212101" w:rsidRPr="005662AE" w:rsidRDefault="00212101" w:rsidP="007C3408">
      <w:pPr>
        <w:spacing w:after="360"/>
      </w:pPr>
      <w:r>
        <w:t>Where there are such concerns, the police should be contacted for advice.</w:t>
      </w:r>
    </w:p>
    <w:p w14:paraId="06928E69" w14:textId="521330B7" w:rsidR="0010292A" w:rsidRPr="0010292A" w:rsidRDefault="0010292A" w:rsidP="00236E0D">
      <w:pPr>
        <w:pStyle w:val="Heading2"/>
      </w:pPr>
      <w:bookmarkStart w:id="26" w:name="_Toc157067015"/>
      <w:r w:rsidRPr="0010292A">
        <w:t xml:space="preserve">Out of </w:t>
      </w:r>
      <w:r w:rsidR="000220AC">
        <w:t>A</w:t>
      </w:r>
      <w:r w:rsidRPr="0010292A">
        <w:t xml:space="preserve">rea </w:t>
      </w:r>
      <w:r w:rsidR="000220AC">
        <w:t>P</w:t>
      </w:r>
      <w:r w:rsidRPr="0010292A">
        <w:t>lacements</w:t>
      </w:r>
      <w:r w:rsidR="009C397F">
        <w:t>:</w:t>
      </w:r>
      <w:bookmarkEnd w:id="26"/>
    </w:p>
    <w:p w14:paraId="3F6E1475" w14:textId="77777777" w:rsidR="0010292A" w:rsidRDefault="0010292A" w:rsidP="00212101">
      <w:r>
        <w:t xml:space="preserve">Sometimes local authorities will need to work together to respond to safeguarding concerns. This is most common when abuse or neglect occurs in one local authority area, but the person receives services funded/commissioned by another. </w:t>
      </w:r>
    </w:p>
    <w:p w14:paraId="7D139CD3" w14:textId="6E2E1806" w:rsidR="0010292A" w:rsidRDefault="0010292A" w:rsidP="00212101">
      <w:r>
        <w:t xml:space="preserve">The ‘ADASS (2016): Out of </w:t>
      </w:r>
      <w:r w:rsidR="00A259DA">
        <w:t>A</w:t>
      </w:r>
      <w:r>
        <w:t xml:space="preserve">rea </w:t>
      </w:r>
      <w:r w:rsidR="00A259DA">
        <w:t>S</w:t>
      </w:r>
      <w:r>
        <w:t xml:space="preserve">afeguarding </w:t>
      </w:r>
      <w:r w:rsidR="00A259DA">
        <w:t>A</w:t>
      </w:r>
      <w:r>
        <w:t>rrangements’ (</w:t>
      </w:r>
      <w:hyperlink r:id="rId17" w:history="1">
        <w:r>
          <w:rPr>
            <w:rStyle w:val="Hyperlink"/>
          </w:rPr>
          <w:t>adass-guidance-inter-authority-safeguarding-arrangements-june-2016.pdf</w:t>
        </w:r>
      </w:hyperlink>
      <w:r>
        <w:t xml:space="preserve">) highlights the needs for authorities to work together and outlines respective responsibilities. </w:t>
      </w:r>
    </w:p>
    <w:p w14:paraId="74744010" w14:textId="77777777" w:rsidR="0010292A" w:rsidRDefault="0010292A" w:rsidP="00212101">
      <w:r>
        <w:t xml:space="preserve">Key general principles are summarised below: </w:t>
      </w:r>
    </w:p>
    <w:p w14:paraId="2ACA97EE" w14:textId="77777777" w:rsidR="0010292A" w:rsidRDefault="0010292A" w:rsidP="00212101">
      <w:r>
        <w:t xml:space="preserve">The safeguarding adults procedures of the host authority (i.e. the Local Authority in the area where the abuse occurred) will be followed. This means that, the host authority: </w:t>
      </w:r>
    </w:p>
    <w:p w14:paraId="39335184" w14:textId="3F3C5535" w:rsidR="0010292A" w:rsidRDefault="00437162" w:rsidP="0010292A">
      <w:pPr>
        <w:pStyle w:val="ListParagraph"/>
        <w:numPr>
          <w:ilvl w:val="0"/>
          <w:numId w:val="3"/>
        </w:numPr>
      </w:pPr>
      <w:r>
        <w:t>W</w:t>
      </w:r>
      <w:r w:rsidR="0010292A">
        <w:t xml:space="preserve">ill fulfil the role of the Safeguarding Coordinator </w:t>
      </w:r>
    </w:p>
    <w:p w14:paraId="00CAF672" w14:textId="5207F9CA" w:rsidR="0010292A" w:rsidRDefault="00437162" w:rsidP="0010292A">
      <w:pPr>
        <w:pStyle w:val="ListParagraph"/>
        <w:numPr>
          <w:ilvl w:val="0"/>
          <w:numId w:val="3"/>
        </w:numPr>
      </w:pPr>
      <w:r>
        <w:t>Wi</w:t>
      </w:r>
      <w:r w:rsidR="0010292A">
        <w:t xml:space="preserve">ll maintain effective communication with the placing authority </w:t>
      </w:r>
    </w:p>
    <w:p w14:paraId="055D1D74" w14:textId="746829BE" w:rsidR="0010292A" w:rsidRDefault="00437162" w:rsidP="0010292A">
      <w:pPr>
        <w:pStyle w:val="ListParagraph"/>
        <w:numPr>
          <w:ilvl w:val="0"/>
          <w:numId w:val="3"/>
        </w:numPr>
      </w:pPr>
      <w:r>
        <w:t>M</w:t>
      </w:r>
      <w:r w:rsidR="0010292A">
        <w:t xml:space="preserve">ay need to undertake immediate make safe arrangements, but wherever possible this should be in consultation with the placing authority </w:t>
      </w:r>
    </w:p>
    <w:p w14:paraId="603F9ACB" w14:textId="77777777" w:rsidR="0010292A" w:rsidRDefault="0010292A" w:rsidP="00212101">
      <w:r>
        <w:t xml:space="preserve">Placing authorities (the local authority or NHS body responsible for commissioning care and support services for that person): </w:t>
      </w:r>
    </w:p>
    <w:p w14:paraId="0322572B" w14:textId="05407C34" w:rsidR="0010292A" w:rsidRDefault="00437162" w:rsidP="0010292A">
      <w:pPr>
        <w:pStyle w:val="ListParagraph"/>
        <w:numPr>
          <w:ilvl w:val="0"/>
          <w:numId w:val="3"/>
        </w:numPr>
      </w:pPr>
      <w:r>
        <w:t>W</w:t>
      </w:r>
      <w:r w:rsidR="0010292A">
        <w:t xml:space="preserve">ill contribute to the safeguarding response as required </w:t>
      </w:r>
    </w:p>
    <w:p w14:paraId="5776B2AF" w14:textId="38F2C667" w:rsidR="0010292A" w:rsidRDefault="00437162" w:rsidP="0010292A">
      <w:pPr>
        <w:pStyle w:val="ListParagraph"/>
        <w:numPr>
          <w:ilvl w:val="0"/>
          <w:numId w:val="3"/>
        </w:numPr>
      </w:pPr>
      <w:r>
        <w:t>H</w:t>
      </w:r>
      <w:r w:rsidR="0010292A">
        <w:t xml:space="preserve">ave overall responsibility for assessing and providing for the care and support needs of the person at risk </w:t>
      </w:r>
    </w:p>
    <w:p w14:paraId="7FB1C7E7" w14:textId="526F22A0" w:rsidR="0010292A" w:rsidRDefault="00437162" w:rsidP="0010292A">
      <w:pPr>
        <w:pStyle w:val="ListParagraph"/>
        <w:numPr>
          <w:ilvl w:val="0"/>
          <w:numId w:val="3"/>
        </w:numPr>
      </w:pPr>
      <w:r>
        <w:t>W</w:t>
      </w:r>
      <w:r w:rsidR="0010292A">
        <w:t>ill ensure, through contracting arrangements and in-service specifications, that the provider has arrangements in place for protecting adults at risk of harm.</w:t>
      </w:r>
    </w:p>
    <w:p w14:paraId="624EE213" w14:textId="77777777" w:rsidR="0010292A" w:rsidRDefault="0010292A" w:rsidP="00212101">
      <w:r>
        <w:t xml:space="preserve">If the person is a self-funder and there is no placing authority involved in commissioning care and support services, the host authority has the duty to act under the multi-agency policy and procedures regardless of the area from which the person originated. </w:t>
      </w:r>
    </w:p>
    <w:p w14:paraId="0743E82B" w14:textId="77777777" w:rsidR="0010292A" w:rsidRDefault="0010292A" w:rsidP="00212101">
      <w:r>
        <w:t xml:space="preserve">If a person experiences abuse whilst in another local authority area from where they live, for a very short period, for example whilst on holiday, the statutory duty lies with the host authority. However, there may need to be agreement between the host and placing agency as who is the most appropriate to undertake enquiries in relation to the concerns. </w:t>
      </w:r>
    </w:p>
    <w:p w14:paraId="3998E6F0" w14:textId="3DDB418A" w:rsidR="009C397F" w:rsidRDefault="0010292A" w:rsidP="00212101">
      <w:r>
        <w:t>The full ADASS Guidance includes more information about the arrangements required in such situations.</w:t>
      </w:r>
    </w:p>
    <w:p w14:paraId="38A5F809" w14:textId="500884C9" w:rsidR="0010292A" w:rsidRPr="0010292A" w:rsidRDefault="0010292A" w:rsidP="00E60534">
      <w:pPr>
        <w:pStyle w:val="Heading3"/>
      </w:pPr>
      <w:bookmarkStart w:id="27" w:name="_Toc157067016"/>
      <w:r w:rsidRPr="0010292A">
        <w:lastRenderedPageBreak/>
        <w:t xml:space="preserve">The </w:t>
      </w:r>
      <w:r w:rsidR="000220AC">
        <w:t>R</w:t>
      </w:r>
      <w:r w:rsidRPr="0010292A">
        <w:t>ole of Care Quality Commission (CQC)</w:t>
      </w:r>
      <w:r w:rsidR="009C397F">
        <w:t>:</w:t>
      </w:r>
      <w:bookmarkEnd w:id="27"/>
    </w:p>
    <w:p w14:paraId="52295586" w14:textId="5E0A1E77" w:rsidR="0010292A" w:rsidRDefault="0010292A" w:rsidP="00212101">
      <w:r>
        <w:t xml:space="preserve">The Care Quality Commission (CQC) is the independent regulator of all health and adult social care services in England, including those provided by the NHS, local authorities, private </w:t>
      </w:r>
      <w:r w:rsidR="00A259DA">
        <w:t>companies,</w:t>
      </w:r>
      <w:r>
        <w:t xml:space="preserve"> and voluntary organisations. </w:t>
      </w:r>
    </w:p>
    <w:p w14:paraId="16C2D0DF" w14:textId="4F5F797B" w:rsidR="0010292A" w:rsidRDefault="005C5774" w:rsidP="00212101">
      <w:r>
        <w:t>CQC</w:t>
      </w:r>
      <w:r w:rsidR="0010292A">
        <w:t xml:space="preserve"> makes sure health and social care services provide people with safe, effective, compassionate, high-quality care and it encourages care services to improve. </w:t>
      </w:r>
    </w:p>
    <w:p w14:paraId="4AD3B0A9" w14:textId="7C47E66A" w:rsidR="0010292A" w:rsidRDefault="0010292A" w:rsidP="00E60534">
      <w:pPr>
        <w:spacing w:after="120"/>
      </w:pPr>
      <w:r>
        <w:t xml:space="preserve">The role of the CQC </w:t>
      </w:r>
      <w:r w:rsidR="005C5774">
        <w:t>i</w:t>
      </w:r>
      <w:r>
        <w:t xml:space="preserve">ncludes: </w:t>
      </w:r>
    </w:p>
    <w:p w14:paraId="362D1F55" w14:textId="633525A6" w:rsidR="0010292A" w:rsidRDefault="0010292A" w:rsidP="0010292A">
      <w:pPr>
        <w:pStyle w:val="ListParagraph"/>
        <w:numPr>
          <w:ilvl w:val="0"/>
          <w:numId w:val="3"/>
        </w:numPr>
      </w:pPr>
      <w:r>
        <w:t>Registering and monitoring of care providers. (</w:t>
      </w:r>
      <w:hyperlink r:id="rId18" w:history="1">
        <w:r w:rsidR="00E336DE">
          <w:rPr>
            <w:rStyle w:val="Hyperlink"/>
          </w:rPr>
          <w:t>Registering and monitoring services - Care Quality Commission (cqc.org.uk)</w:t>
        </w:r>
      </w:hyperlink>
      <w:r>
        <w:t xml:space="preserve"> </w:t>
      </w:r>
    </w:p>
    <w:p w14:paraId="7C17D4D8" w14:textId="13F623D2" w:rsidR="0010292A" w:rsidRDefault="0010292A" w:rsidP="0010292A">
      <w:pPr>
        <w:pStyle w:val="ListParagraph"/>
        <w:numPr>
          <w:ilvl w:val="0"/>
          <w:numId w:val="3"/>
        </w:numPr>
      </w:pPr>
      <w:r>
        <w:t xml:space="preserve">Inspecting and rating services </w:t>
      </w:r>
      <w:r w:rsidR="00A259DA">
        <w:t>(</w:t>
      </w:r>
      <w:hyperlink r:id="rId19" w:history="1">
        <w:r w:rsidR="00A259DA">
          <w:rPr>
            <w:rStyle w:val="Hyperlink"/>
          </w:rPr>
          <w:t>Ratings - Care Quality Commission (cqc.org.uk)</w:t>
        </w:r>
      </w:hyperlink>
    </w:p>
    <w:p w14:paraId="394D61EC" w14:textId="1A3B50B3" w:rsidR="0010292A" w:rsidRPr="009A6E2F" w:rsidRDefault="0010292A" w:rsidP="0010292A">
      <w:pPr>
        <w:pStyle w:val="ListParagraph"/>
        <w:numPr>
          <w:ilvl w:val="0"/>
          <w:numId w:val="3"/>
        </w:numPr>
        <w:rPr>
          <w:rStyle w:val="Hyperlink"/>
          <w:color w:val="auto"/>
          <w:u w:val="none"/>
        </w:rPr>
      </w:pPr>
      <w:r>
        <w:t xml:space="preserve">Taking action to protect people who use services </w:t>
      </w:r>
      <w:r w:rsidR="00A259DA">
        <w:t>(</w:t>
      </w:r>
      <w:hyperlink r:id="rId20" w:history="1">
        <w:r w:rsidR="00A259DA">
          <w:rPr>
            <w:rStyle w:val="Hyperlink"/>
          </w:rPr>
          <w:t>Taking action - Care Quality Commission (cqc.org.uk)</w:t>
        </w:r>
      </w:hyperlink>
    </w:p>
    <w:p w14:paraId="7093B286" w14:textId="2B77C55F" w:rsidR="002323AF" w:rsidRDefault="002323AF" w:rsidP="009A6E2F">
      <w:r>
        <w:t xml:space="preserve">The CQC must be invited to attend all LSE Multi-agency meetings under this procedure. </w:t>
      </w:r>
    </w:p>
    <w:p w14:paraId="68B27386" w14:textId="420065F9" w:rsidR="0010292A" w:rsidRPr="0010292A" w:rsidRDefault="0010292A" w:rsidP="00E60534">
      <w:pPr>
        <w:pStyle w:val="Heading3"/>
      </w:pPr>
      <w:bookmarkStart w:id="28" w:name="_Toc157067017"/>
      <w:r w:rsidRPr="0010292A">
        <w:t xml:space="preserve">Fundamental </w:t>
      </w:r>
      <w:r w:rsidR="000220AC">
        <w:t>S</w:t>
      </w:r>
      <w:r w:rsidRPr="0010292A">
        <w:t>tandards</w:t>
      </w:r>
      <w:r w:rsidR="009C397F">
        <w:t>:</w:t>
      </w:r>
      <w:bookmarkEnd w:id="28"/>
    </w:p>
    <w:p w14:paraId="2106BEE3" w14:textId="77777777" w:rsidR="0010292A" w:rsidRDefault="0010292A" w:rsidP="00212101">
      <w:r>
        <w:t xml:space="preserve">All service providers registered with the CQC are expected to meet fundamental standards, below which care should never fall. </w:t>
      </w:r>
    </w:p>
    <w:p w14:paraId="1AD5D0D3" w14:textId="580081BF" w:rsidR="0010292A" w:rsidRDefault="0010292A" w:rsidP="00212101">
      <w:r>
        <w:t>These 1</w:t>
      </w:r>
      <w:r w:rsidR="00A259DA">
        <w:t>3</w:t>
      </w:r>
      <w:r>
        <w:t xml:space="preserve"> standards include: </w:t>
      </w:r>
    </w:p>
    <w:p w14:paraId="17B8F7A3" w14:textId="77777777" w:rsidR="0010292A" w:rsidRDefault="0010292A" w:rsidP="0010292A">
      <w:pPr>
        <w:pStyle w:val="ListParagraph"/>
        <w:numPr>
          <w:ilvl w:val="0"/>
          <w:numId w:val="3"/>
        </w:numPr>
      </w:pPr>
      <w:r>
        <w:t xml:space="preserve">Safeguarding from abuse: You must not suffer any form of abuse or improper treatment while receiving care. </w:t>
      </w:r>
    </w:p>
    <w:p w14:paraId="2E00D88C" w14:textId="77777777" w:rsidR="0010292A" w:rsidRDefault="0010292A" w:rsidP="0010292A">
      <w:pPr>
        <w:pStyle w:val="ListParagraph"/>
        <w:numPr>
          <w:ilvl w:val="0"/>
          <w:numId w:val="3"/>
        </w:numPr>
      </w:pPr>
      <w:r>
        <w:t xml:space="preserve">Duty of Candour: The provider of your care must be open and transparent with you about your care and treatment. Should something go wrong, they must tell you what has happened, provide </w:t>
      </w:r>
      <w:r w:rsidR="00B33EB0">
        <w:t>support,</w:t>
      </w:r>
      <w:r>
        <w:t xml:space="preserve"> and apologise. Regulation 20: Duty of Candour: Care Quality Commission </w:t>
      </w:r>
    </w:p>
    <w:p w14:paraId="71802C67" w14:textId="2688B381" w:rsidR="0010292A" w:rsidRDefault="0010292A" w:rsidP="00212101">
      <w:r>
        <w:t xml:space="preserve">For more information about all the fundamental standards </w:t>
      </w:r>
      <w:hyperlink r:id="rId21" w:history="1">
        <w:r w:rsidR="00A259DA">
          <w:rPr>
            <w:rStyle w:val="Hyperlink"/>
          </w:rPr>
          <w:t>The fundamental standards - Care Quality Commission (cqc.org.uk)</w:t>
        </w:r>
      </w:hyperlink>
      <w:r>
        <w:t xml:space="preserve"> Statement on CQC’s role and responsibilities for safeguarding children and adults </w:t>
      </w:r>
    </w:p>
    <w:p w14:paraId="5D345870" w14:textId="6919E2B9" w:rsidR="0010292A" w:rsidRDefault="0010292A" w:rsidP="00212101">
      <w:r>
        <w:t xml:space="preserve">The CQC sets out a range of roles and responsibilities in relation to safeguarding. These include: </w:t>
      </w:r>
    </w:p>
    <w:p w14:paraId="3C31A59E" w14:textId="77777777" w:rsidR="0010292A" w:rsidRDefault="0010292A" w:rsidP="0010292A">
      <w:pPr>
        <w:pStyle w:val="ListParagraph"/>
        <w:numPr>
          <w:ilvl w:val="0"/>
          <w:numId w:val="3"/>
        </w:numPr>
      </w:pPr>
      <w:r>
        <w:t xml:space="preserve">Supporting the Local Authority’s lead role in conducting enquiries or investigations regarding safeguarding children and adults. We do this by co-operating with them and sharing information where appropriate from our regulatory and monitoring activity. We assist the police in a similar way. </w:t>
      </w:r>
    </w:p>
    <w:p w14:paraId="57AB6B93" w14:textId="02043C7C" w:rsidR="0010292A" w:rsidRDefault="0010292A" w:rsidP="0010292A">
      <w:pPr>
        <w:pStyle w:val="ListParagraph"/>
        <w:numPr>
          <w:ilvl w:val="0"/>
          <w:numId w:val="3"/>
        </w:numPr>
      </w:pPr>
      <w:r>
        <w:t>Holding providers to account by taking regulatory action to ensure that they rectify any shortfalls in their arrangements to safeguard children and adults, and that that they maintain improvements. This includes requiring providers to produce action plans, taking enforcement action to remedy breaches of fundamental standards, and taking action against unregistered provider</w:t>
      </w:r>
      <w:r w:rsidR="005C5774">
        <w:t xml:space="preserve">. </w:t>
      </w:r>
    </w:p>
    <w:p w14:paraId="664AC3B0" w14:textId="1FF18E0D" w:rsidR="0010292A" w:rsidRDefault="005C5774" w:rsidP="0010292A">
      <w:r>
        <w:t>T</w:t>
      </w:r>
      <w:r w:rsidR="0010292A">
        <w:t>he full document is available on the CQC webpage</w:t>
      </w:r>
      <w:r w:rsidR="00A259DA">
        <w:t xml:space="preserve"> </w:t>
      </w:r>
      <w:hyperlink r:id="rId22" w:history="1">
        <w:r w:rsidR="00A259DA">
          <w:rPr>
            <w:rStyle w:val="Hyperlink"/>
          </w:rPr>
          <w:t>The fundamental standards - Care Quality Commission (cqc.org.uk)</w:t>
        </w:r>
      </w:hyperlink>
      <w:r w:rsidR="00A259DA">
        <w:t>.</w:t>
      </w:r>
    </w:p>
    <w:p w14:paraId="5D42163F" w14:textId="36F9B314" w:rsidR="0010292A" w:rsidRPr="0010292A" w:rsidRDefault="0010292A" w:rsidP="00E60534">
      <w:pPr>
        <w:pStyle w:val="Heading3"/>
      </w:pPr>
      <w:bookmarkStart w:id="29" w:name="_Toc157067018"/>
      <w:r w:rsidRPr="0010292A">
        <w:t xml:space="preserve">The </w:t>
      </w:r>
      <w:r w:rsidR="000220AC">
        <w:t>R</w:t>
      </w:r>
      <w:r w:rsidRPr="0010292A">
        <w:t xml:space="preserve">ole of </w:t>
      </w:r>
      <w:r w:rsidR="000220AC">
        <w:t>C</w:t>
      </w:r>
      <w:r w:rsidRPr="0010292A">
        <w:t xml:space="preserve">ommissioning </w:t>
      </w:r>
      <w:r w:rsidR="000220AC">
        <w:t>A</w:t>
      </w:r>
      <w:r w:rsidRPr="0010292A">
        <w:t>uthorities</w:t>
      </w:r>
      <w:r w:rsidR="009C397F">
        <w:t>:</w:t>
      </w:r>
      <w:bookmarkEnd w:id="29"/>
    </w:p>
    <w:p w14:paraId="00A901E9" w14:textId="6B905F94" w:rsidR="00793FFA" w:rsidRDefault="00793FFA" w:rsidP="00793FFA">
      <w:pPr>
        <w:rPr>
          <w:rFonts w:cstheme="minorHAnsi"/>
        </w:rPr>
      </w:pPr>
      <w:r w:rsidRPr="004A0194">
        <w:rPr>
          <w:rFonts w:cstheme="minorHAnsi"/>
        </w:rPr>
        <w:t xml:space="preserve">In Calderdale, we have a robust approach to Quality Assurance Monitoring for Adult Care Providers through the implementation of the Integrated Quality Assurance Framework (IQAF). This IQAF sets </w:t>
      </w:r>
      <w:r w:rsidRPr="004A0194">
        <w:rPr>
          <w:rFonts w:cstheme="minorHAnsi"/>
        </w:rPr>
        <w:lastRenderedPageBreak/>
        <w:t xml:space="preserve">out the approach that Calderdale Council, WYICB, Care Providers, and other key system partners will </w:t>
      </w:r>
      <w:r w:rsidR="007B7BE1">
        <w:rPr>
          <w:rFonts w:cstheme="minorHAnsi"/>
        </w:rPr>
        <w:t>under</w:t>
      </w:r>
      <w:r w:rsidRPr="004A0194">
        <w:rPr>
          <w:rFonts w:cstheme="minorHAnsi"/>
        </w:rPr>
        <w:t>take to ensure local care and support services achieve high quality care, providing services which meet the needs of individuals</w:t>
      </w:r>
      <w:r>
        <w:rPr>
          <w:rFonts w:cstheme="minorHAnsi"/>
        </w:rPr>
        <w:t xml:space="preserve"> or Adults at Risk</w:t>
      </w:r>
      <w:r w:rsidRPr="004A0194">
        <w:rPr>
          <w:rFonts w:cstheme="minorHAnsi"/>
        </w:rPr>
        <w:t>.</w:t>
      </w:r>
      <w:r>
        <w:rPr>
          <w:rFonts w:cstheme="minorHAnsi"/>
        </w:rPr>
        <w:t xml:space="preserve"> </w:t>
      </w:r>
    </w:p>
    <w:p w14:paraId="4B5C4A86" w14:textId="77777777" w:rsidR="0010292A" w:rsidRDefault="0010292A" w:rsidP="0010292A">
      <w:r>
        <w:t xml:space="preserve">Commissioning authorities will have required standards for services and systems in place for monitoring, inspection and for supporting service providers to achieve improved standards. </w:t>
      </w:r>
    </w:p>
    <w:p w14:paraId="2EA3D624" w14:textId="38C97E85" w:rsidR="0010292A" w:rsidRDefault="0010292A" w:rsidP="0010292A">
      <w:r>
        <w:t xml:space="preserve">In the event that safeguarding concerns emerge, these roles and responsibilities will be continuous with the safeguarding process, however liaison with the Safeguarding Coordinator will be required to ensure that responses are </w:t>
      </w:r>
      <w:r w:rsidR="00160F4F">
        <w:t>coordinated,</w:t>
      </w:r>
      <w:r>
        <w:t xml:space="preserve"> and information shared appropriately. </w:t>
      </w:r>
    </w:p>
    <w:p w14:paraId="5E5AE64A" w14:textId="77777777" w:rsidR="0010292A" w:rsidRDefault="0010292A" w:rsidP="0010292A">
      <w:r>
        <w:t xml:space="preserve">Depending on the circumstances, commissioning authorities may support the safeguarding enquiry process by: </w:t>
      </w:r>
    </w:p>
    <w:p w14:paraId="60417C19" w14:textId="75CADD0F" w:rsidR="0010292A" w:rsidRDefault="008E4B80" w:rsidP="0010292A">
      <w:pPr>
        <w:pStyle w:val="ListParagraph"/>
        <w:numPr>
          <w:ilvl w:val="0"/>
          <w:numId w:val="3"/>
        </w:numPr>
      </w:pPr>
      <w:r>
        <w:t>Identifying the need for service improvement plans and a</w:t>
      </w:r>
      <w:r w:rsidR="0010292A">
        <w:t xml:space="preserve">dvising on past service performance issues and agreed actions to address concerns </w:t>
      </w:r>
    </w:p>
    <w:p w14:paraId="4B42B568" w14:textId="0DE4BA89" w:rsidR="0010292A" w:rsidRDefault="0010292A" w:rsidP="0010292A">
      <w:pPr>
        <w:pStyle w:val="ListParagraph"/>
        <w:numPr>
          <w:ilvl w:val="0"/>
          <w:numId w:val="3"/>
        </w:numPr>
      </w:pPr>
      <w:r>
        <w:t xml:space="preserve">Advising on expected </w:t>
      </w:r>
      <w:r w:rsidR="008E4B80">
        <w:t xml:space="preserve">quality </w:t>
      </w:r>
      <w:r>
        <w:t xml:space="preserve">standards and identifying areas where the service provider has not met their </w:t>
      </w:r>
      <w:r w:rsidR="008E4B80">
        <w:t xml:space="preserve">quality standards and /or </w:t>
      </w:r>
      <w:r>
        <w:t xml:space="preserve">contractual requirements </w:t>
      </w:r>
    </w:p>
    <w:p w14:paraId="593626F4" w14:textId="77777777" w:rsidR="0010292A" w:rsidRDefault="0010292A" w:rsidP="0010292A">
      <w:pPr>
        <w:pStyle w:val="ListParagraph"/>
        <w:numPr>
          <w:ilvl w:val="0"/>
          <w:numId w:val="3"/>
        </w:numPr>
      </w:pPr>
      <w:r>
        <w:t xml:space="preserve">Undertaking a review of systems or records. </w:t>
      </w:r>
    </w:p>
    <w:p w14:paraId="0D81461F" w14:textId="77777777" w:rsidR="0010292A" w:rsidRDefault="0010292A" w:rsidP="0010292A">
      <w:pPr>
        <w:pStyle w:val="ListParagraph"/>
        <w:numPr>
          <w:ilvl w:val="0"/>
          <w:numId w:val="3"/>
        </w:numPr>
      </w:pPr>
      <w:r>
        <w:t xml:space="preserve">Obtaining from the service provider all relevant policies and procedures </w:t>
      </w:r>
    </w:p>
    <w:p w14:paraId="336BC0D2" w14:textId="643D1497" w:rsidR="0010292A" w:rsidRDefault="008E4B80" w:rsidP="0010292A">
      <w:pPr>
        <w:pStyle w:val="ListParagraph"/>
        <w:numPr>
          <w:ilvl w:val="0"/>
          <w:numId w:val="3"/>
        </w:numPr>
      </w:pPr>
      <w:r>
        <w:t>Quality assuring</w:t>
      </w:r>
      <w:r w:rsidR="0010292A">
        <w:t xml:space="preserve"> areas of organisational practice </w:t>
      </w:r>
    </w:p>
    <w:p w14:paraId="47D0FC8C" w14:textId="77777777" w:rsidR="0010292A" w:rsidRDefault="0010292A" w:rsidP="0010292A">
      <w:pPr>
        <w:pStyle w:val="ListParagraph"/>
        <w:numPr>
          <w:ilvl w:val="0"/>
          <w:numId w:val="3"/>
        </w:numPr>
      </w:pPr>
      <w:r>
        <w:t xml:space="preserve">Requiring evidence of improved/agreed practice </w:t>
      </w:r>
    </w:p>
    <w:p w14:paraId="12F99892" w14:textId="3BF332A0" w:rsidR="00537534" w:rsidRDefault="00537534" w:rsidP="0010292A">
      <w:pPr>
        <w:pStyle w:val="ListParagraph"/>
        <w:numPr>
          <w:ilvl w:val="0"/>
          <w:numId w:val="3"/>
        </w:numPr>
      </w:pPr>
      <w:r>
        <w:t>Identifying resources to support remedial actions to make service users safe</w:t>
      </w:r>
    </w:p>
    <w:p w14:paraId="2FC60546" w14:textId="67340E29" w:rsidR="0010292A" w:rsidRDefault="0010292A" w:rsidP="0010292A">
      <w:r>
        <w:t xml:space="preserve">Service improvements may be required by the commissioning authority to achieve required standards of service provision. The nature of such plans will be determined by the commissioning </w:t>
      </w:r>
      <w:r w:rsidR="00160F4F">
        <w:t>authority and</w:t>
      </w:r>
      <w:r>
        <w:t xml:space="preserve"> may continue irrespective of the safeguarding adults procedures. </w:t>
      </w:r>
    </w:p>
    <w:p w14:paraId="5AC523D9" w14:textId="5B5CB690" w:rsidR="0010292A" w:rsidRDefault="0010292A" w:rsidP="0010292A">
      <w:r>
        <w:t xml:space="preserve">The decision to suspend or end any suspension of placements with a service provider will be made by each individual commissioning authority in accordance with the criteria and agreed processes as set out in their own suspension policy. </w:t>
      </w:r>
    </w:p>
    <w:p w14:paraId="158A7384" w14:textId="53103673" w:rsidR="008576EF" w:rsidRPr="00160F4F" w:rsidRDefault="00E15472" w:rsidP="00160F4F">
      <w:pPr>
        <w:spacing w:after="0"/>
        <w:rPr>
          <w:rFonts w:cstheme="minorHAnsi"/>
        </w:rPr>
      </w:pPr>
      <w:r w:rsidRPr="00E755A0">
        <w:rPr>
          <w:rFonts w:cstheme="minorHAnsi"/>
        </w:rPr>
        <w:t xml:space="preserve">Decisions to continue or suspend admissions should be taken on the basis of an analysis of known risks. </w:t>
      </w:r>
    </w:p>
    <w:p w14:paraId="18B720FD" w14:textId="5044333F" w:rsidR="00E15472" w:rsidRPr="009C397F" w:rsidRDefault="008576EF" w:rsidP="009C397F">
      <w:r>
        <w:t xml:space="preserve">In usual circumstances, the decision will be predicated on the assessment of the organisation entering into Large Scale Enquiry. </w:t>
      </w:r>
    </w:p>
    <w:p w14:paraId="7A518F57" w14:textId="3503C1FA" w:rsidR="00E15472" w:rsidRDefault="00E15472" w:rsidP="00E60534">
      <w:pPr>
        <w:spacing w:after="120"/>
        <w:rPr>
          <w:rFonts w:cstheme="minorHAnsi"/>
        </w:rPr>
      </w:pPr>
      <w:r w:rsidRPr="00E755A0">
        <w:rPr>
          <w:rFonts w:cstheme="minorHAnsi"/>
        </w:rPr>
        <w:t xml:space="preserve">Any decisions of this kind must be taken in close consultation with the </w:t>
      </w:r>
      <w:r w:rsidRPr="005D7038">
        <w:rPr>
          <w:rFonts w:cstheme="minorHAnsi"/>
        </w:rPr>
        <w:t>Integrated</w:t>
      </w:r>
      <w:r>
        <w:t xml:space="preserve"> </w:t>
      </w:r>
      <w:r w:rsidRPr="005D7038">
        <w:rPr>
          <w:rFonts w:cstheme="minorHAnsi"/>
        </w:rPr>
        <w:t>Commissioning</w:t>
      </w:r>
      <w:r w:rsidR="00537534">
        <w:rPr>
          <w:rFonts w:cstheme="minorHAnsi"/>
        </w:rPr>
        <w:t xml:space="preserve"> Board</w:t>
      </w:r>
      <w:r w:rsidRPr="005D7038">
        <w:rPr>
          <w:rFonts w:cstheme="minorHAnsi"/>
        </w:rPr>
        <w:t xml:space="preserve">, </w:t>
      </w:r>
      <w:r w:rsidR="00537534">
        <w:rPr>
          <w:rFonts w:cstheme="minorHAnsi"/>
        </w:rPr>
        <w:t xml:space="preserve">CMBC </w:t>
      </w:r>
      <w:r w:rsidRPr="005D7038">
        <w:rPr>
          <w:rFonts w:cstheme="minorHAnsi"/>
        </w:rPr>
        <w:t>Contract &amp; Quality Team</w:t>
      </w:r>
      <w:r w:rsidRPr="00E755A0">
        <w:rPr>
          <w:rFonts w:cstheme="minorHAnsi"/>
        </w:rPr>
        <w:t xml:space="preserve"> department and legal </w:t>
      </w:r>
      <w:r w:rsidR="001D1051" w:rsidRPr="00E755A0">
        <w:rPr>
          <w:rFonts w:cstheme="minorHAnsi"/>
        </w:rPr>
        <w:t>services.</w:t>
      </w:r>
      <w:r w:rsidRPr="00E755A0">
        <w:rPr>
          <w:rFonts w:cstheme="minorHAnsi"/>
        </w:rPr>
        <w:t xml:space="preserve"> If more than one agency is involved in commissioning, a joint approach to suspending admissions should be discussed. </w:t>
      </w:r>
      <w:r>
        <w:rPr>
          <w:rFonts w:cstheme="minorHAnsi"/>
        </w:rPr>
        <w:t>Any decision has to be signed off at Director level</w:t>
      </w:r>
      <w:r w:rsidR="00537534">
        <w:rPr>
          <w:rFonts w:cstheme="minorHAnsi"/>
        </w:rPr>
        <w:t xml:space="preserve"> at CMBC and WYICB</w:t>
      </w:r>
      <w:r>
        <w:rPr>
          <w:rFonts w:cstheme="minorHAnsi"/>
        </w:rPr>
        <w:t>.</w:t>
      </w:r>
    </w:p>
    <w:p w14:paraId="77CC79D7" w14:textId="3335F586" w:rsidR="005662AE" w:rsidRDefault="00E15472" w:rsidP="00E60534">
      <w:pPr>
        <w:spacing w:after="240"/>
        <w:rPr>
          <w:rFonts w:cstheme="minorHAnsi"/>
        </w:rPr>
      </w:pPr>
      <w:r w:rsidRPr="00E755A0">
        <w:rPr>
          <w:rFonts w:cstheme="minorHAnsi"/>
        </w:rPr>
        <w:t xml:space="preserve">Once the decision </w:t>
      </w:r>
      <w:r>
        <w:rPr>
          <w:rFonts w:cstheme="minorHAnsi"/>
        </w:rPr>
        <w:t>to suspend admissions is made</w:t>
      </w:r>
      <w:r w:rsidRPr="00E755A0">
        <w:rPr>
          <w:rFonts w:cstheme="minorHAnsi"/>
        </w:rPr>
        <w:t xml:space="preserve">, the </w:t>
      </w:r>
      <w:r>
        <w:rPr>
          <w:rFonts w:cstheme="minorHAnsi"/>
        </w:rPr>
        <w:t>C</w:t>
      </w:r>
      <w:r w:rsidRPr="00E755A0">
        <w:rPr>
          <w:rFonts w:cstheme="minorHAnsi"/>
        </w:rPr>
        <w:t xml:space="preserve">ontracts, </w:t>
      </w:r>
      <w:r>
        <w:rPr>
          <w:rFonts w:cstheme="minorHAnsi"/>
        </w:rPr>
        <w:t>Q</w:t>
      </w:r>
      <w:r w:rsidRPr="00E755A0">
        <w:rPr>
          <w:rFonts w:cstheme="minorHAnsi"/>
        </w:rPr>
        <w:t xml:space="preserve">uality and </w:t>
      </w:r>
      <w:r>
        <w:rPr>
          <w:rFonts w:cstheme="minorHAnsi"/>
        </w:rPr>
        <w:t>C</w:t>
      </w:r>
      <w:r w:rsidRPr="00E755A0">
        <w:rPr>
          <w:rFonts w:cstheme="minorHAnsi"/>
        </w:rPr>
        <w:t xml:space="preserve">ommissioning </w:t>
      </w:r>
      <w:r>
        <w:rPr>
          <w:rFonts w:cstheme="minorHAnsi"/>
        </w:rPr>
        <w:t>T</w:t>
      </w:r>
      <w:r w:rsidRPr="00E755A0">
        <w:rPr>
          <w:rFonts w:cstheme="minorHAnsi"/>
        </w:rPr>
        <w:t xml:space="preserve">eam should monitor and review this in conjunction with any other </w:t>
      </w:r>
      <w:r>
        <w:rPr>
          <w:rFonts w:cstheme="minorHAnsi"/>
        </w:rPr>
        <w:t xml:space="preserve">quality </w:t>
      </w:r>
      <w:r w:rsidRPr="00E755A0">
        <w:rPr>
          <w:rFonts w:cstheme="minorHAnsi"/>
        </w:rPr>
        <w:t>action</w:t>
      </w:r>
      <w:r>
        <w:rPr>
          <w:rFonts w:cstheme="minorHAnsi"/>
        </w:rPr>
        <w:t>s</w:t>
      </w:r>
      <w:bookmarkStart w:id="30" w:name="_Hlk122533838"/>
      <w:r>
        <w:rPr>
          <w:rFonts w:cstheme="minorHAnsi"/>
        </w:rPr>
        <w:t xml:space="preserve"> and in partnership with the Safeguarding Lead for safeguarding actions.</w:t>
      </w:r>
      <w:bookmarkEnd w:id="30"/>
    </w:p>
    <w:p w14:paraId="4FDCC96D" w14:textId="4F569237" w:rsidR="00D1310A" w:rsidRDefault="005662AE" w:rsidP="00E60534">
      <w:pPr>
        <w:pStyle w:val="Heading3"/>
      </w:pPr>
      <w:bookmarkStart w:id="31" w:name="_Toc121412193"/>
      <w:bookmarkStart w:id="32" w:name="_Toc121412272"/>
      <w:bookmarkStart w:id="33" w:name="_Toc157067019"/>
      <w:r w:rsidRPr="00D1310A">
        <w:t>Health Partners</w:t>
      </w:r>
      <w:bookmarkEnd w:id="31"/>
      <w:bookmarkEnd w:id="32"/>
      <w:r w:rsidR="00DB5161">
        <w:t>:</w:t>
      </w:r>
      <w:bookmarkEnd w:id="33"/>
    </w:p>
    <w:p w14:paraId="3FF3A468" w14:textId="4FDFF0AC" w:rsidR="005662AE" w:rsidRDefault="005662AE" w:rsidP="005662AE">
      <w:pPr>
        <w:spacing w:after="120"/>
        <w:rPr>
          <w:rFonts w:cstheme="minorHAnsi"/>
        </w:rPr>
      </w:pPr>
      <w:r w:rsidRPr="00E755A0">
        <w:rPr>
          <w:rFonts w:cstheme="minorHAnsi"/>
        </w:rPr>
        <w:t xml:space="preserve">Whilst Adults Services and Wellbeing would take the lead role in coordinating the enquiry, Health Commissioners are expected to actively contribute as they retain responsibility for those services they commission and would be required to negotiate any changes that are required to the client’s care and treatment package as a result of the enquiry. </w:t>
      </w:r>
      <w:r>
        <w:rPr>
          <w:rFonts w:cstheme="minorHAnsi"/>
        </w:rPr>
        <w:t>In addition, s42 enquiries can be delegated to NHS partners</w:t>
      </w:r>
      <w:r w:rsidR="00037334">
        <w:rPr>
          <w:rFonts w:cstheme="minorHAnsi"/>
        </w:rPr>
        <w:t>.</w:t>
      </w:r>
    </w:p>
    <w:p w14:paraId="00F6FBAF" w14:textId="4DE4F46A" w:rsidR="005662AE" w:rsidRPr="00E755A0" w:rsidRDefault="005662AE" w:rsidP="005662AE">
      <w:pPr>
        <w:spacing w:after="120"/>
        <w:rPr>
          <w:rFonts w:cstheme="minorHAnsi"/>
        </w:rPr>
      </w:pPr>
      <w:r w:rsidRPr="001E74C4">
        <w:rPr>
          <w:rFonts w:cstheme="minorHAnsi"/>
        </w:rPr>
        <w:lastRenderedPageBreak/>
        <w:t xml:space="preserve">Similarly, </w:t>
      </w:r>
      <w:r w:rsidR="0007133F">
        <w:rPr>
          <w:rFonts w:cstheme="minorHAnsi"/>
        </w:rPr>
        <w:t xml:space="preserve">NHS </w:t>
      </w:r>
      <w:r w:rsidR="00F55981">
        <w:rPr>
          <w:rFonts w:cstheme="minorHAnsi"/>
        </w:rPr>
        <w:t>staff</w:t>
      </w:r>
      <w:r w:rsidR="0007133F" w:rsidRPr="001E74C4">
        <w:rPr>
          <w:rFonts w:cstheme="minorHAnsi"/>
        </w:rPr>
        <w:t xml:space="preserve"> </w:t>
      </w:r>
      <w:r w:rsidRPr="001E74C4">
        <w:rPr>
          <w:rFonts w:cstheme="minorHAnsi"/>
        </w:rPr>
        <w:t xml:space="preserve">would retain responsibility for liaison with families and carers </w:t>
      </w:r>
      <w:r w:rsidR="0007133F">
        <w:rPr>
          <w:rFonts w:cstheme="minorHAnsi"/>
        </w:rPr>
        <w:t xml:space="preserve">where the person’s care is NHS commissioned or </w:t>
      </w:r>
      <w:r w:rsidR="00160F4F">
        <w:rPr>
          <w:rFonts w:cstheme="minorHAnsi"/>
        </w:rPr>
        <w:t xml:space="preserve">provided </w:t>
      </w:r>
      <w:r w:rsidR="00160F4F" w:rsidRPr="001E74C4">
        <w:rPr>
          <w:rFonts w:cstheme="minorHAnsi"/>
        </w:rPr>
        <w:t>and</w:t>
      </w:r>
      <w:r w:rsidRPr="001E74C4">
        <w:rPr>
          <w:rFonts w:cstheme="minorHAnsi"/>
        </w:rPr>
        <w:t xml:space="preserve"> may be best placed to carry out some investigatory aspects as determined at the</w:t>
      </w:r>
      <w:r>
        <w:rPr>
          <w:rFonts w:cstheme="minorHAnsi"/>
        </w:rPr>
        <w:t xml:space="preserve"> LSE MASM</w:t>
      </w:r>
      <w:r w:rsidRPr="001E74C4">
        <w:rPr>
          <w:rFonts w:cstheme="minorHAnsi"/>
        </w:rPr>
        <w:t xml:space="preserve"> meeting. In fully funded nursing cases, they have the expertise to evaluate evidence of a </w:t>
      </w:r>
      <w:r w:rsidR="0007133F">
        <w:rPr>
          <w:rFonts w:cstheme="minorHAnsi"/>
        </w:rPr>
        <w:t>clinical</w:t>
      </w:r>
      <w:r w:rsidR="0007133F" w:rsidRPr="001E74C4">
        <w:rPr>
          <w:rFonts w:cstheme="minorHAnsi"/>
        </w:rPr>
        <w:t xml:space="preserve"> </w:t>
      </w:r>
      <w:r w:rsidRPr="001E74C4">
        <w:rPr>
          <w:rFonts w:cstheme="minorHAnsi"/>
        </w:rPr>
        <w:t>nature which may be pertinent to the enquiry.</w:t>
      </w:r>
    </w:p>
    <w:p w14:paraId="1AEBEF4F" w14:textId="2EA26B9B" w:rsidR="005662AE" w:rsidRDefault="005662AE" w:rsidP="007F3A05">
      <w:pPr>
        <w:rPr>
          <w:rFonts w:cstheme="minorHAnsi"/>
        </w:rPr>
      </w:pPr>
      <w:bookmarkStart w:id="34" w:name="_Hlk120806315"/>
      <w:r w:rsidRPr="00E755A0">
        <w:rPr>
          <w:rFonts w:cstheme="minorHAnsi"/>
        </w:rPr>
        <w:t xml:space="preserve">If the enquiry involves or affects South West Yorkshire Partnership NHS Foundation Trust (SWYPFT) or Calderdale and Huddersfield NHS Foundation Trust, their </w:t>
      </w:r>
      <w:r>
        <w:rPr>
          <w:rFonts w:cstheme="minorHAnsi"/>
        </w:rPr>
        <w:t>S</w:t>
      </w:r>
      <w:r w:rsidRPr="00E755A0">
        <w:rPr>
          <w:rFonts w:cstheme="minorHAnsi"/>
        </w:rPr>
        <w:t xml:space="preserve">afeguarding </w:t>
      </w:r>
      <w:r>
        <w:rPr>
          <w:rFonts w:cstheme="minorHAnsi"/>
        </w:rPr>
        <w:t>L</w:t>
      </w:r>
      <w:r w:rsidRPr="00E755A0">
        <w:rPr>
          <w:rFonts w:cstheme="minorHAnsi"/>
        </w:rPr>
        <w:t>eads should be informed at the o</w:t>
      </w:r>
      <w:r>
        <w:rPr>
          <w:rFonts w:cstheme="minorHAnsi"/>
        </w:rPr>
        <w:t>ut</w:t>
      </w:r>
      <w:r w:rsidRPr="00E755A0">
        <w:rPr>
          <w:rFonts w:cstheme="minorHAnsi"/>
        </w:rPr>
        <w:t>set</w:t>
      </w:r>
      <w:r>
        <w:rPr>
          <w:rFonts w:cstheme="minorHAnsi"/>
        </w:rPr>
        <w:t xml:space="preserve"> of the LSE MASM </w:t>
      </w:r>
      <w:r w:rsidR="0007133F">
        <w:rPr>
          <w:rFonts w:cstheme="minorHAnsi"/>
        </w:rPr>
        <w:t xml:space="preserve">also ensuring </w:t>
      </w:r>
      <w:r>
        <w:rPr>
          <w:rFonts w:cstheme="minorHAnsi"/>
        </w:rPr>
        <w:t xml:space="preserve">the </w:t>
      </w:r>
      <w:r w:rsidR="0007133F">
        <w:rPr>
          <w:rFonts w:cstheme="minorHAnsi"/>
        </w:rPr>
        <w:t>WY</w:t>
      </w:r>
      <w:r>
        <w:rPr>
          <w:rFonts w:cstheme="minorHAnsi"/>
        </w:rPr>
        <w:t xml:space="preserve">ICB </w:t>
      </w:r>
      <w:r w:rsidR="0007133F">
        <w:rPr>
          <w:rFonts w:cstheme="minorHAnsi"/>
        </w:rPr>
        <w:t>informed</w:t>
      </w:r>
      <w:r>
        <w:rPr>
          <w:rFonts w:cstheme="minorHAnsi"/>
        </w:rPr>
        <w:t>.</w:t>
      </w:r>
    </w:p>
    <w:bookmarkEnd w:id="34"/>
    <w:p w14:paraId="1D294E07" w14:textId="086485D8" w:rsidR="00493E06" w:rsidRPr="001E74C4" w:rsidRDefault="005662AE" w:rsidP="00E60534">
      <w:pPr>
        <w:spacing w:after="120"/>
        <w:rPr>
          <w:rFonts w:cstheme="minorHAnsi"/>
        </w:rPr>
      </w:pPr>
      <w:r w:rsidRPr="00E755A0">
        <w:rPr>
          <w:rFonts w:cstheme="minorHAnsi"/>
        </w:rPr>
        <w:t>Each agency will identify at th</w:t>
      </w:r>
      <w:r>
        <w:rPr>
          <w:rFonts w:cstheme="minorHAnsi"/>
        </w:rPr>
        <w:t>e LSE MASM s</w:t>
      </w:r>
      <w:r w:rsidRPr="00E755A0">
        <w:rPr>
          <w:rFonts w:cstheme="minorHAnsi"/>
        </w:rPr>
        <w:t>pecific roles and reporting processes, along with relationships to other procedures (</w:t>
      </w:r>
      <w:r w:rsidR="005F1752" w:rsidRPr="00E755A0">
        <w:rPr>
          <w:rFonts w:cstheme="minorHAnsi"/>
        </w:rPr>
        <w:t>e.g.,</w:t>
      </w:r>
      <w:r w:rsidRPr="00E755A0">
        <w:rPr>
          <w:rFonts w:cstheme="minorHAnsi"/>
        </w:rPr>
        <w:t xml:space="preserve"> Serious Incident Procedures).</w:t>
      </w:r>
    </w:p>
    <w:p w14:paraId="77D4B650" w14:textId="04236C81" w:rsidR="00D6303A" w:rsidRDefault="006131F9" w:rsidP="00E15472">
      <w:pPr>
        <w:spacing w:after="0"/>
        <w:rPr>
          <w:rFonts w:cstheme="minorHAnsi"/>
        </w:rPr>
      </w:pPr>
      <w:r>
        <w:rPr>
          <w:rFonts w:cstheme="minorHAnsi"/>
        </w:rPr>
        <w:t>There is currently no agreed overarching multi-agency information sharing agreement in Calderdale</w:t>
      </w:r>
      <w:r w:rsidR="00493E06">
        <w:rPr>
          <w:rFonts w:cstheme="minorHAnsi"/>
        </w:rPr>
        <w:t>. T</w:t>
      </w:r>
      <w:r>
        <w:rPr>
          <w:rFonts w:cstheme="minorHAnsi"/>
        </w:rPr>
        <w:t xml:space="preserve">he expectation is therefore that all agencies abide by data protection legislation and the principles therein. </w:t>
      </w:r>
    </w:p>
    <w:p w14:paraId="0D6B021F" w14:textId="77777777" w:rsidR="006131F9" w:rsidRDefault="006131F9" w:rsidP="00E15472">
      <w:pPr>
        <w:spacing w:after="0"/>
        <w:rPr>
          <w:rFonts w:cstheme="minorHAnsi"/>
        </w:rPr>
      </w:pPr>
    </w:p>
    <w:p w14:paraId="0F56DCB4" w14:textId="6921C92F" w:rsidR="00D6303A" w:rsidRPr="00D6303A" w:rsidRDefault="00D6303A" w:rsidP="00E60534">
      <w:pPr>
        <w:pStyle w:val="Heading3"/>
      </w:pPr>
      <w:bookmarkStart w:id="35" w:name="_Toc157067020"/>
      <w:bookmarkStart w:id="36" w:name="_Hlk130823124"/>
      <w:r w:rsidRPr="00D6303A">
        <w:t>Withdrawal of Contracted Servic</w:t>
      </w:r>
      <w:r w:rsidR="00DB5161">
        <w:t>e:</w:t>
      </w:r>
      <w:bookmarkEnd w:id="35"/>
    </w:p>
    <w:p w14:paraId="735D0F46" w14:textId="5DFD7742" w:rsidR="002C3390" w:rsidRPr="007D11B4" w:rsidRDefault="002C3390" w:rsidP="00D6303A">
      <w:pPr>
        <w:spacing w:after="10" w:line="254" w:lineRule="auto"/>
        <w:jc w:val="both"/>
      </w:pPr>
      <w:r>
        <w:t xml:space="preserve">If a decision is made to close / no longer commission the service / the service goes into </w:t>
      </w:r>
      <w:r w:rsidR="00160F4F">
        <w:t>administration,</w:t>
      </w:r>
      <w:r>
        <w:t xml:space="preserve"> then the following action must be </w:t>
      </w:r>
      <w:r w:rsidR="001D1051">
        <w:t>considered,</w:t>
      </w:r>
      <w:r w:rsidR="009A2594">
        <w:t xml:space="preserve"> and the home closure checklist must be followed</w:t>
      </w:r>
      <w:r w:rsidR="00437162">
        <w:t xml:space="preserve"> (appendix 8)</w:t>
      </w:r>
      <w:r w:rsidR="003A6A4A">
        <w:t>:</w:t>
      </w:r>
    </w:p>
    <w:bookmarkEnd w:id="36"/>
    <w:p w14:paraId="4FAA6CB4" w14:textId="77777777" w:rsidR="00D6303A" w:rsidRPr="00F13E69" w:rsidRDefault="00D6303A" w:rsidP="00D6303A">
      <w:pPr>
        <w:pStyle w:val="NoSpacing"/>
      </w:pPr>
      <w:r w:rsidRPr="00F13E69">
        <w:t xml:space="preserve"> </w:t>
      </w:r>
    </w:p>
    <w:p w14:paraId="58191A05" w14:textId="60187DF0" w:rsidR="00D6303A" w:rsidRDefault="00D6303A" w:rsidP="00D6303A">
      <w:pPr>
        <w:pStyle w:val="NoSpacing"/>
        <w:rPr>
          <w:b/>
          <w:bCs/>
        </w:rPr>
      </w:pPr>
      <w:r w:rsidRPr="007D11B4">
        <w:rPr>
          <w:b/>
          <w:bCs/>
        </w:rPr>
        <w:t xml:space="preserve">Actions to be </w:t>
      </w:r>
      <w:r w:rsidR="000220AC">
        <w:rPr>
          <w:b/>
          <w:bCs/>
        </w:rPr>
        <w:t>t</w:t>
      </w:r>
      <w:r w:rsidRPr="007D11B4">
        <w:rPr>
          <w:b/>
          <w:bCs/>
        </w:rPr>
        <w:t xml:space="preserve">aken: </w:t>
      </w:r>
    </w:p>
    <w:p w14:paraId="5608097B" w14:textId="77528DEB" w:rsidR="00D6303A" w:rsidRDefault="00D6303A" w:rsidP="00D6303A">
      <w:pPr>
        <w:pStyle w:val="NoSpacing"/>
        <w:numPr>
          <w:ilvl w:val="0"/>
          <w:numId w:val="15"/>
        </w:numPr>
      </w:pPr>
      <w:r w:rsidRPr="00F13E69">
        <w:t xml:space="preserve">Immediate safety of residents to be ascertained to confirm that the home has continued supplies and services </w:t>
      </w:r>
      <w:r w:rsidR="00C82F56" w:rsidRPr="00F13E69">
        <w:t>e.g.,</w:t>
      </w:r>
      <w:r w:rsidRPr="00F13E69">
        <w:t xml:space="preserve"> electricity, gas, food, equipment within 24hours </w:t>
      </w:r>
      <w:r w:rsidR="003A6A4A">
        <w:t xml:space="preserve">of </w:t>
      </w:r>
      <w:r w:rsidRPr="00F13E69">
        <w:t xml:space="preserve">notification. </w:t>
      </w:r>
    </w:p>
    <w:p w14:paraId="1E04ED4C" w14:textId="43DA2262" w:rsidR="00D6303A" w:rsidRPr="00F13E69" w:rsidRDefault="00D6303A" w:rsidP="00D6303A">
      <w:pPr>
        <w:pStyle w:val="NoSpacing"/>
        <w:numPr>
          <w:ilvl w:val="0"/>
          <w:numId w:val="15"/>
        </w:numPr>
      </w:pPr>
      <w:r w:rsidRPr="00F13E69">
        <w:t xml:space="preserve">Quality monitoring visit to be carried out as soon as practicable. </w:t>
      </w:r>
    </w:p>
    <w:p w14:paraId="0D60A175" w14:textId="3D137578" w:rsidR="00D6303A" w:rsidRPr="00F13E69" w:rsidRDefault="00D6303A" w:rsidP="00D6303A">
      <w:pPr>
        <w:pStyle w:val="NoSpacing"/>
        <w:numPr>
          <w:ilvl w:val="0"/>
          <w:numId w:val="15"/>
        </w:numPr>
      </w:pPr>
      <w:r w:rsidRPr="00F13E69">
        <w:t xml:space="preserve">Management and staffing levels within the home should be confirmed ensuring there is adequate management cover within 24 hours </w:t>
      </w:r>
      <w:r w:rsidR="003A6A4A">
        <w:t xml:space="preserve">of </w:t>
      </w:r>
      <w:r w:rsidRPr="00F13E69">
        <w:t xml:space="preserve">notification. </w:t>
      </w:r>
    </w:p>
    <w:p w14:paraId="6943A000" w14:textId="0E356BFA" w:rsidR="00D6303A" w:rsidRPr="00F13E69" w:rsidRDefault="00D6303A" w:rsidP="00D6303A">
      <w:pPr>
        <w:pStyle w:val="NoSpacing"/>
        <w:numPr>
          <w:ilvl w:val="0"/>
          <w:numId w:val="15"/>
        </w:numPr>
      </w:pPr>
      <w:r w:rsidRPr="00F13E69">
        <w:t>Client financial affairs</w:t>
      </w:r>
      <w:r w:rsidR="007F3A05">
        <w:t xml:space="preserve"> (CMBC)</w:t>
      </w:r>
      <w:r w:rsidRPr="00F13E69">
        <w:t xml:space="preserve"> to be informed of the administration and details of administrators</w:t>
      </w:r>
      <w:r w:rsidR="007F3A05">
        <w:t xml:space="preserve"> for self-funders</w:t>
      </w:r>
      <w:r w:rsidRPr="00F13E69">
        <w:t xml:space="preserve">. </w:t>
      </w:r>
    </w:p>
    <w:p w14:paraId="625E0527" w14:textId="5D60CFF4" w:rsidR="00D6303A" w:rsidRPr="00F13E69" w:rsidRDefault="00D6303A" w:rsidP="00D6303A">
      <w:pPr>
        <w:pStyle w:val="NoSpacing"/>
        <w:numPr>
          <w:ilvl w:val="0"/>
          <w:numId w:val="15"/>
        </w:numPr>
      </w:pPr>
      <w:r w:rsidRPr="00F13E69">
        <w:t xml:space="preserve">List of residents </w:t>
      </w:r>
      <w:r w:rsidR="00C82F56" w:rsidRPr="00F13E69">
        <w:t>obtained,</w:t>
      </w:r>
      <w:r w:rsidRPr="00F13E69">
        <w:t xml:space="preserve"> and safeguarding concerns checked. </w:t>
      </w:r>
    </w:p>
    <w:p w14:paraId="4BF88B40" w14:textId="69E1F7B9" w:rsidR="00D6303A" w:rsidRPr="00F13E69" w:rsidRDefault="00D6303A" w:rsidP="00D6303A">
      <w:pPr>
        <w:pStyle w:val="NoSpacing"/>
        <w:numPr>
          <w:ilvl w:val="0"/>
          <w:numId w:val="15"/>
        </w:numPr>
      </w:pPr>
      <w:r w:rsidRPr="00F13E69">
        <w:t xml:space="preserve">Initial meeting with </w:t>
      </w:r>
      <w:r>
        <w:t xml:space="preserve">Calderdale’s Safeguarding Lead, the </w:t>
      </w:r>
      <w:r w:rsidR="00DA1EE6">
        <w:t xml:space="preserve">Assistant </w:t>
      </w:r>
      <w:r>
        <w:t>D</w:t>
      </w:r>
      <w:r w:rsidR="00DA1EE6">
        <w:t>irector</w:t>
      </w:r>
      <w:r>
        <w:t xml:space="preserve"> for Adults </w:t>
      </w:r>
      <w:r w:rsidR="003A6A4A">
        <w:t xml:space="preserve">Services </w:t>
      </w:r>
      <w:r>
        <w:t xml:space="preserve">and Well-Being and </w:t>
      </w:r>
      <w:r w:rsidRPr="00F3699B">
        <w:rPr>
          <w:rFonts w:cstheme="minorHAnsi"/>
        </w:rPr>
        <w:t xml:space="preserve">Calderdale Integrated Commissioning, Contracts &amp; Quality </w:t>
      </w:r>
      <w:r w:rsidR="005F1752" w:rsidRPr="00F3699B">
        <w:rPr>
          <w:rFonts w:cstheme="minorHAnsi"/>
        </w:rPr>
        <w:t>Team,</w:t>
      </w:r>
      <w:r w:rsidRPr="00F3699B">
        <w:rPr>
          <w:rFonts w:cstheme="minorHAnsi"/>
        </w:rPr>
        <w:t xml:space="preserve"> </w:t>
      </w:r>
      <w:r w:rsidRPr="00F13E69">
        <w:t xml:space="preserve">and </w:t>
      </w:r>
      <w:r>
        <w:t>s</w:t>
      </w:r>
      <w:r w:rsidRPr="00F13E69">
        <w:t xml:space="preserve">upport with home representatives. Identify if there are other homes affected within the company. </w:t>
      </w:r>
    </w:p>
    <w:p w14:paraId="1902E72D" w14:textId="77777777" w:rsidR="00D6303A" w:rsidRPr="00F13E69" w:rsidRDefault="00D6303A" w:rsidP="00D6303A">
      <w:pPr>
        <w:pStyle w:val="NoSpacing"/>
        <w:numPr>
          <w:ilvl w:val="0"/>
          <w:numId w:val="15"/>
        </w:numPr>
      </w:pPr>
      <w:r w:rsidRPr="00F13E69">
        <w:t xml:space="preserve">Notification to other neighbouring contracts units. </w:t>
      </w:r>
    </w:p>
    <w:p w14:paraId="1F6B636B" w14:textId="45083485" w:rsidR="00D6303A" w:rsidRPr="00F13E69" w:rsidRDefault="00D6303A" w:rsidP="00D6303A">
      <w:pPr>
        <w:pStyle w:val="NoSpacing"/>
        <w:numPr>
          <w:ilvl w:val="0"/>
          <w:numId w:val="15"/>
        </w:numPr>
      </w:pPr>
      <w:r w:rsidRPr="00F13E69">
        <w:t>Agreement on ongoing liaison with administrators re</w:t>
      </w:r>
      <w:r w:rsidR="003A6A4A">
        <w:t>garding</w:t>
      </w:r>
      <w:r w:rsidRPr="00F13E69">
        <w:t xml:space="preserve"> </w:t>
      </w:r>
      <w:r w:rsidR="003A6A4A">
        <w:t>f</w:t>
      </w:r>
      <w:r w:rsidRPr="00F13E69">
        <w:t xml:space="preserve">uture viability of the home. </w:t>
      </w:r>
    </w:p>
    <w:p w14:paraId="75D1D0F1" w14:textId="77777777" w:rsidR="00D6303A" w:rsidRPr="00F13E69" w:rsidRDefault="00D6303A" w:rsidP="00D6303A">
      <w:pPr>
        <w:pStyle w:val="NoSpacing"/>
        <w:numPr>
          <w:ilvl w:val="0"/>
          <w:numId w:val="15"/>
        </w:numPr>
      </w:pPr>
      <w:r w:rsidRPr="00F13E69">
        <w:t xml:space="preserve">Contingency planning for the event of home closure, individual assessments of residents needs and associated risks of moving. </w:t>
      </w:r>
    </w:p>
    <w:p w14:paraId="0D499BEC" w14:textId="2265D9A1" w:rsidR="00D6303A" w:rsidRPr="00F13E69" w:rsidRDefault="00D6303A" w:rsidP="00D6303A">
      <w:pPr>
        <w:pStyle w:val="NoSpacing"/>
        <w:numPr>
          <w:ilvl w:val="0"/>
          <w:numId w:val="15"/>
        </w:numPr>
      </w:pPr>
      <w:r w:rsidRPr="00F13E69">
        <w:t xml:space="preserve">Clarify communication with residents and families. </w:t>
      </w:r>
    </w:p>
    <w:p w14:paraId="5BEF75A3" w14:textId="4C274DE7" w:rsidR="00D6303A" w:rsidRPr="00F13E69" w:rsidRDefault="00D6303A" w:rsidP="00D6303A">
      <w:pPr>
        <w:pStyle w:val="NoSpacing"/>
        <w:numPr>
          <w:ilvl w:val="0"/>
          <w:numId w:val="15"/>
        </w:numPr>
      </w:pPr>
      <w:r w:rsidRPr="00F13E69">
        <w:t xml:space="preserve">Nominate link for residents, </w:t>
      </w:r>
      <w:r w:rsidR="00C82F56" w:rsidRPr="00F13E69">
        <w:t>families,</w:t>
      </w:r>
      <w:r w:rsidRPr="00F13E69">
        <w:t xml:space="preserve"> and home management. </w:t>
      </w:r>
    </w:p>
    <w:p w14:paraId="0C80E44E" w14:textId="77777777" w:rsidR="00D6303A" w:rsidRPr="00F13E69" w:rsidRDefault="00D6303A" w:rsidP="00D6303A">
      <w:pPr>
        <w:pStyle w:val="NoSpacing"/>
        <w:numPr>
          <w:ilvl w:val="0"/>
          <w:numId w:val="15"/>
        </w:numPr>
      </w:pPr>
      <w:r w:rsidRPr="00F13E69">
        <w:t xml:space="preserve">Letter to residents and families from </w:t>
      </w:r>
      <w:r>
        <w:t>Calderdale</w:t>
      </w:r>
      <w:r w:rsidRPr="00F13E69">
        <w:t xml:space="preserve"> Council to inform them of position and communication. </w:t>
      </w:r>
    </w:p>
    <w:p w14:paraId="47C34200" w14:textId="665EE3DB" w:rsidR="00D6303A" w:rsidRDefault="00D6303A" w:rsidP="00D6303A">
      <w:pPr>
        <w:pStyle w:val="NoSpacing"/>
        <w:numPr>
          <w:ilvl w:val="0"/>
          <w:numId w:val="15"/>
        </w:numPr>
      </w:pPr>
      <w:r w:rsidRPr="00F13E69">
        <w:t xml:space="preserve">Core social work group identified to review residents and meet with families if required. </w:t>
      </w:r>
    </w:p>
    <w:p w14:paraId="61582F0F" w14:textId="0F123EE0" w:rsidR="00C75F39" w:rsidRPr="00160F4F" w:rsidRDefault="00C75F39" w:rsidP="00C75F39">
      <w:pPr>
        <w:pStyle w:val="NoSpacing"/>
      </w:pPr>
    </w:p>
    <w:p w14:paraId="3C94F0E6" w14:textId="51DB55AE" w:rsidR="007F3A05" w:rsidRPr="00160F4F" w:rsidRDefault="005662AE" w:rsidP="007F3A05">
      <w:pPr>
        <w:pStyle w:val="CommentText"/>
        <w:rPr>
          <w:sz w:val="22"/>
          <w:szCs w:val="22"/>
        </w:rPr>
      </w:pPr>
      <w:r w:rsidRPr="00160F4F">
        <w:rPr>
          <w:rFonts w:cstheme="minorHAnsi"/>
          <w:sz w:val="22"/>
          <w:szCs w:val="22"/>
        </w:rPr>
        <w:t>Residents should only be moved with their agreement following careful discussion and where necessary involving relatives and IMCAs (Independent Mental Capacity Advocates)</w:t>
      </w:r>
      <w:r w:rsidR="007F3A05" w:rsidRPr="00160F4F">
        <w:rPr>
          <w:rFonts w:cstheme="minorHAnsi"/>
          <w:sz w:val="22"/>
          <w:szCs w:val="22"/>
        </w:rPr>
        <w:t xml:space="preserve"> unless </w:t>
      </w:r>
      <w:r w:rsidR="00A259DA" w:rsidRPr="00160F4F">
        <w:rPr>
          <w:sz w:val="22"/>
          <w:szCs w:val="22"/>
        </w:rPr>
        <w:t>e.g.,</w:t>
      </w:r>
      <w:r w:rsidR="007F3A05" w:rsidRPr="00160F4F">
        <w:rPr>
          <w:sz w:val="22"/>
          <w:szCs w:val="22"/>
        </w:rPr>
        <w:t xml:space="preserve"> if a commissioning authority decides to no longer fund the placement</w:t>
      </w:r>
      <w:r w:rsidR="003A6A4A">
        <w:rPr>
          <w:sz w:val="22"/>
          <w:szCs w:val="22"/>
        </w:rPr>
        <w:t>.</w:t>
      </w:r>
    </w:p>
    <w:p w14:paraId="6D3CE429" w14:textId="0D710CBF" w:rsidR="005662AE" w:rsidRPr="00160F4F" w:rsidRDefault="00160F4F" w:rsidP="005662AE">
      <w:pPr>
        <w:spacing w:after="240" w:line="249" w:lineRule="auto"/>
        <w:rPr>
          <w:rFonts w:cstheme="minorHAnsi"/>
        </w:rPr>
      </w:pPr>
      <w:r w:rsidRPr="00160F4F">
        <w:rPr>
          <w:rFonts w:cstheme="minorHAnsi"/>
        </w:rPr>
        <w:t>A</w:t>
      </w:r>
      <w:r w:rsidR="005662AE" w:rsidRPr="00160F4F">
        <w:rPr>
          <w:rFonts w:cstheme="minorHAnsi"/>
        </w:rPr>
        <w:t xml:space="preserve"> holistic assessment is required to minimise risks to a resident’s well-being and ensuring this is completed in the least restrictive, person-centred approach.</w:t>
      </w:r>
    </w:p>
    <w:p w14:paraId="097B18DF" w14:textId="29D38E5D" w:rsidR="00C82F56" w:rsidRPr="00C82F56" w:rsidRDefault="00C82F56" w:rsidP="00236E0D">
      <w:pPr>
        <w:pStyle w:val="Heading2"/>
      </w:pPr>
      <w:bookmarkStart w:id="37" w:name="_Toc121412198"/>
      <w:bookmarkStart w:id="38" w:name="_Toc121412277"/>
      <w:bookmarkStart w:id="39" w:name="_Toc157067021"/>
      <w:r w:rsidRPr="000D3A9F">
        <w:lastRenderedPageBreak/>
        <w:t>Ongoing</w:t>
      </w:r>
      <w:r w:rsidRPr="00C82F56">
        <w:t xml:space="preserve"> Support for Victims, Family and Witnesses</w:t>
      </w:r>
      <w:bookmarkEnd w:id="37"/>
      <w:bookmarkEnd w:id="38"/>
      <w:r w:rsidR="00DB5161">
        <w:t>:</w:t>
      </w:r>
      <w:bookmarkEnd w:id="39"/>
    </w:p>
    <w:p w14:paraId="0BBE2197" w14:textId="13DF0467" w:rsidR="00C82F56" w:rsidRPr="00BD4201" w:rsidRDefault="00C82F56" w:rsidP="00C82F56">
      <w:pPr>
        <w:spacing w:after="18"/>
        <w:rPr>
          <w:rFonts w:cstheme="minorHAnsi"/>
        </w:rPr>
      </w:pPr>
      <w:r w:rsidRPr="00BD4201">
        <w:rPr>
          <w:rFonts w:cstheme="minorHAnsi"/>
        </w:rPr>
        <w:t>Support for victims will have been considered during the course of the enquiry and beyond. Minimum periods for on-going contact should be established.</w:t>
      </w:r>
      <w:r w:rsidR="00252D03">
        <w:rPr>
          <w:rFonts w:cstheme="minorHAnsi"/>
        </w:rPr>
        <w:t xml:space="preserve"> It is important to recognise that there are often risks involved in moving people to a new placement and mitigation of this risks must be considered</w:t>
      </w:r>
      <w:r w:rsidR="003A6A4A">
        <w:rPr>
          <w:rFonts w:cstheme="minorHAnsi"/>
        </w:rPr>
        <w:t>.</w:t>
      </w:r>
    </w:p>
    <w:p w14:paraId="20A2538C" w14:textId="77777777" w:rsidR="00C82F56" w:rsidRPr="00C82F56" w:rsidRDefault="00C82F56" w:rsidP="00C82F56">
      <w:pPr>
        <w:spacing w:after="18"/>
        <w:rPr>
          <w:rFonts w:cstheme="minorHAnsi"/>
          <w:b/>
          <w:bCs/>
        </w:rPr>
      </w:pPr>
    </w:p>
    <w:p w14:paraId="0E6BD903" w14:textId="7A1C161D" w:rsidR="00C82F56" w:rsidRPr="00C82F56" w:rsidRDefault="00C82F56" w:rsidP="00E60534">
      <w:pPr>
        <w:pStyle w:val="Heading3"/>
      </w:pPr>
      <w:bookmarkStart w:id="40" w:name="_Toc121412199"/>
      <w:bookmarkStart w:id="41" w:name="_Toc121412278"/>
      <w:bookmarkStart w:id="42" w:name="_Toc157067022"/>
      <w:r w:rsidRPr="00C82F56">
        <w:t>Staff Support</w:t>
      </w:r>
      <w:bookmarkEnd w:id="40"/>
      <w:bookmarkEnd w:id="41"/>
      <w:r w:rsidR="00DB5161">
        <w:t>:</w:t>
      </w:r>
      <w:bookmarkEnd w:id="42"/>
    </w:p>
    <w:p w14:paraId="39A3D00A" w14:textId="394DC91A" w:rsidR="00C82F56" w:rsidRPr="00E755A0" w:rsidRDefault="00C82F56" w:rsidP="00E60534">
      <w:pPr>
        <w:spacing w:after="120"/>
        <w:rPr>
          <w:rFonts w:cstheme="minorHAnsi"/>
        </w:rPr>
      </w:pPr>
      <w:r>
        <w:rPr>
          <w:rFonts w:cstheme="minorHAnsi"/>
        </w:rPr>
        <w:t>Consideration of s</w:t>
      </w:r>
      <w:r w:rsidRPr="00E755A0">
        <w:rPr>
          <w:rFonts w:cstheme="minorHAnsi"/>
        </w:rPr>
        <w:t xml:space="preserve">upport for </w:t>
      </w:r>
      <w:r>
        <w:rPr>
          <w:rFonts w:cstheme="minorHAnsi"/>
        </w:rPr>
        <w:t>staff involved in the process</w:t>
      </w:r>
      <w:r w:rsidRPr="00E755A0">
        <w:rPr>
          <w:rFonts w:cstheme="minorHAnsi"/>
        </w:rPr>
        <w:t xml:space="preserve"> is the responsibility of </w:t>
      </w:r>
      <w:r w:rsidR="00252D03">
        <w:rPr>
          <w:rFonts w:cstheme="minorHAnsi"/>
        </w:rPr>
        <w:t>their employers</w:t>
      </w:r>
      <w:r w:rsidRPr="00E755A0">
        <w:rPr>
          <w:rFonts w:cstheme="minorHAnsi"/>
        </w:rPr>
        <w:t>. Clear arrangements should be in place from the outset for all staff. These should include debriefing for all staff on the Enquiry</w:t>
      </w:r>
      <w:r w:rsidR="00252D03">
        <w:rPr>
          <w:rFonts w:cstheme="minorHAnsi"/>
        </w:rPr>
        <w:t xml:space="preserve"> and this must be addressed in LSE MASM</w:t>
      </w:r>
      <w:r w:rsidRPr="00E755A0">
        <w:rPr>
          <w:rFonts w:cstheme="minorHAnsi"/>
        </w:rPr>
        <w:t xml:space="preserve">. </w:t>
      </w:r>
    </w:p>
    <w:p w14:paraId="5C70F037" w14:textId="282DAF2E" w:rsidR="00C82F56" w:rsidRPr="00E755A0" w:rsidRDefault="00C82F56" w:rsidP="00E60534">
      <w:pPr>
        <w:spacing w:after="120" w:line="250" w:lineRule="auto"/>
        <w:rPr>
          <w:rFonts w:cstheme="minorHAnsi"/>
        </w:rPr>
      </w:pPr>
      <w:r>
        <w:t>Inter-agency cooperation may be impacted</w:t>
      </w:r>
      <w:r w:rsidRPr="00E755A0">
        <w:rPr>
          <w:rFonts w:cstheme="minorHAnsi"/>
        </w:rPr>
        <w:t xml:space="preserve"> by the stress associated with enquiry into complex abuse. Issues such as the boundaries of confidentiality, resource </w:t>
      </w:r>
      <w:r>
        <w:rPr>
          <w:rFonts w:cstheme="minorHAnsi"/>
        </w:rPr>
        <w:t>availability</w:t>
      </w:r>
      <w:r w:rsidRPr="00E755A0">
        <w:rPr>
          <w:rFonts w:cstheme="minorHAnsi"/>
        </w:rPr>
        <w:t xml:space="preserve"> and differences of professional judgement may heighten these difficulties. Careful consideration should be given to a situation when operational staff may have to </w:t>
      </w:r>
      <w:r>
        <w:rPr>
          <w:rFonts w:cstheme="minorHAnsi"/>
        </w:rPr>
        <w:t>give evidence against</w:t>
      </w:r>
      <w:r w:rsidRPr="00E755A0">
        <w:rPr>
          <w:rFonts w:cstheme="minorHAnsi"/>
        </w:rPr>
        <w:t xml:space="preserve"> a colleague. </w:t>
      </w:r>
    </w:p>
    <w:p w14:paraId="73BC4CFD" w14:textId="5CFA86F1" w:rsidR="00C82F56" w:rsidRDefault="00C82F56" w:rsidP="00E60534">
      <w:pPr>
        <w:spacing w:after="120" w:line="250" w:lineRule="auto"/>
        <w:rPr>
          <w:rFonts w:cstheme="minorHAnsi"/>
        </w:rPr>
      </w:pPr>
      <w:r w:rsidRPr="00E755A0">
        <w:rPr>
          <w:rFonts w:cstheme="minorHAnsi"/>
        </w:rPr>
        <w:t xml:space="preserve">On occasions the safety of the enquiry team must also be given consideration. Particular caution will need to be exercised in approaching individuals who are alleged to have </w:t>
      </w:r>
      <w:r w:rsidR="003A6A4A">
        <w:rPr>
          <w:rFonts w:cstheme="minorHAnsi"/>
        </w:rPr>
        <w:t>caused harm</w:t>
      </w:r>
      <w:r w:rsidRPr="00E755A0">
        <w:rPr>
          <w:rFonts w:cstheme="minorHAnsi"/>
        </w:rPr>
        <w:t xml:space="preserve">. </w:t>
      </w:r>
    </w:p>
    <w:p w14:paraId="19E26C0A" w14:textId="1DABFB8B" w:rsidR="00C82F56" w:rsidRDefault="00C82F56" w:rsidP="00C82F56">
      <w:pPr>
        <w:spacing w:after="240" w:line="249" w:lineRule="auto"/>
        <w:rPr>
          <w:rFonts w:cstheme="minorHAnsi"/>
        </w:rPr>
      </w:pPr>
      <w:r>
        <w:rPr>
          <w:rFonts w:cstheme="minorHAnsi"/>
        </w:rPr>
        <w:t xml:space="preserve">Where a risk towards staff is identified, </w:t>
      </w:r>
      <w:r w:rsidRPr="00E755A0">
        <w:rPr>
          <w:rFonts w:cstheme="minorHAnsi"/>
        </w:rPr>
        <w:t>protocols for staff safety and handling violence should be agreed and observed</w:t>
      </w:r>
      <w:r>
        <w:rPr>
          <w:rFonts w:cstheme="minorHAnsi"/>
        </w:rPr>
        <w:t xml:space="preserve"> including </w:t>
      </w:r>
      <w:r w:rsidR="00A259DA">
        <w:rPr>
          <w:rFonts w:cstheme="minorHAnsi"/>
        </w:rPr>
        <w:t xml:space="preserve">lone </w:t>
      </w:r>
      <w:r>
        <w:rPr>
          <w:rFonts w:cstheme="minorHAnsi"/>
        </w:rPr>
        <w:t>v</w:t>
      </w:r>
      <w:r w:rsidRPr="00E755A0">
        <w:rPr>
          <w:rFonts w:cstheme="minorHAnsi"/>
        </w:rPr>
        <w:t>isit</w:t>
      </w:r>
      <w:r w:rsidR="00A259DA">
        <w:rPr>
          <w:rFonts w:cstheme="minorHAnsi"/>
        </w:rPr>
        <w:t>s</w:t>
      </w:r>
      <w:r w:rsidRPr="00E755A0">
        <w:rPr>
          <w:rFonts w:cstheme="minorHAnsi"/>
        </w:rPr>
        <w:t xml:space="preserve">. </w:t>
      </w:r>
      <w:r>
        <w:t xml:space="preserve">If solo visits take place, use of red flag system on </w:t>
      </w:r>
      <w:r w:rsidR="004E11C1">
        <w:t>the Client Information System (</w:t>
      </w:r>
      <w:r>
        <w:t>CIS</w:t>
      </w:r>
      <w:r w:rsidR="004E11C1">
        <w:t>)</w:t>
      </w:r>
      <w:r>
        <w:t xml:space="preserve"> and sharing knowledge amongst </w:t>
      </w:r>
      <w:r w:rsidR="00A5307A">
        <w:t>staff across all agencies.</w:t>
      </w:r>
      <w:r w:rsidRPr="00E755A0">
        <w:rPr>
          <w:rFonts w:cstheme="minorHAnsi"/>
        </w:rPr>
        <w:t xml:space="preserve"> </w:t>
      </w:r>
    </w:p>
    <w:p w14:paraId="1EA13091" w14:textId="2E6CE7C2" w:rsidR="00C82F56" w:rsidRPr="00E755A0" w:rsidRDefault="006131F9" w:rsidP="00E60534">
      <w:pPr>
        <w:pStyle w:val="Heading3"/>
      </w:pPr>
      <w:bookmarkStart w:id="43" w:name="_Toc157067023"/>
      <w:r>
        <w:t>Person(s) Alleged to have Caused Harm</w:t>
      </w:r>
      <w:bookmarkEnd w:id="43"/>
    </w:p>
    <w:p w14:paraId="48F01812" w14:textId="19F51847" w:rsidR="00DB5161" w:rsidRDefault="00C82F56" w:rsidP="00E60534">
      <w:pPr>
        <w:spacing w:after="240" w:line="250" w:lineRule="auto"/>
        <w:rPr>
          <w:rStyle w:val="Hyperlink"/>
        </w:rPr>
      </w:pPr>
      <w:r w:rsidRPr="00E755A0">
        <w:rPr>
          <w:rFonts w:cstheme="minorHAnsi"/>
        </w:rPr>
        <w:t>The protection of adult</w:t>
      </w:r>
      <w:r>
        <w:rPr>
          <w:rFonts w:cstheme="minorHAnsi"/>
        </w:rPr>
        <w:t>s</w:t>
      </w:r>
      <w:r w:rsidRPr="00E755A0">
        <w:rPr>
          <w:rFonts w:cstheme="minorHAnsi"/>
        </w:rPr>
        <w:t xml:space="preserve"> at risk identified as being at risk of harm remains paramount, but the sharing of information and confidentiality issues should be treated with due consideration for the </w:t>
      </w:r>
      <w:r w:rsidR="009A731B">
        <w:rPr>
          <w:rFonts w:cstheme="minorHAnsi"/>
        </w:rPr>
        <w:t xml:space="preserve">Person(s) Alleged to have Caused </w:t>
      </w:r>
      <w:r w:rsidR="001B6925">
        <w:rPr>
          <w:rFonts w:cstheme="minorHAnsi"/>
        </w:rPr>
        <w:t>Harm too</w:t>
      </w:r>
      <w:r>
        <w:rPr>
          <w:rFonts w:cstheme="minorHAnsi"/>
        </w:rPr>
        <w:t xml:space="preserve"> with reference to Data Protection</w:t>
      </w:r>
      <w:r w:rsidR="00A5307A">
        <w:rPr>
          <w:rFonts w:cstheme="minorHAnsi"/>
        </w:rPr>
        <w:t xml:space="preserve"> legislation and best practice</w:t>
      </w:r>
      <w:r w:rsidRPr="00E755A0">
        <w:rPr>
          <w:rFonts w:cstheme="minorHAnsi"/>
        </w:rPr>
        <w:t xml:space="preserve">. </w:t>
      </w:r>
      <w:r w:rsidR="007F3A05">
        <w:rPr>
          <w:rFonts w:cstheme="minorHAnsi"/>
        </w:rPr>
        <w:t xml:space="preserve"> Please see reference to </w:t>
      </w:r>
      <w:hyperlink r:id="rId23" w:history="1">
        <w:r w:rsidR="00A259DA" w:rsidRPr="00187994">
          <w:rPr>
            <w:rStyle w:val="Hyperlink"/>
          </w:rPr>
          <w:t xml:space="preserve"> Joint Multi-Agency Safeguarding Adults Policy &amp; Procedures Bradford, Calderdale, Kirklees, North Yorkshire, Wakefield, And York</w:t>
        </w:r>
      </w:hyperlink>
      <w:bookmarkStart w:id="44" w:name="_Toc121412201"/>
      <w:bookmarkStart w:id="45" w:name="_Toc121412280"/>
      <w:r w:rsidR="00A515E2">
        <w:rPr>
          <w:rStyle w:val="Hyperlink"/>
        </w:rPr>
        <w:t xml:space="preserve"> </w:t>
      </w:r>
      <w:r w:rsidR="00A515E2" w:rsidRPr="00A515E2">
        <w:rPr>
          <w:rStyle w:val="Hyperlink"/>
          <w:color w:val="auto"/>
          <w:u w:val="none"/>
        </w:rPr>
        <w:t>and PiPOT policies</w:t>
      </w:r>
      <w:r w:rsidR="00E60534">
        <w:rPr>
          <w:rStyle w:val="Hyperlink"/>
          <w:color w:val="auto"/>
          <w:u w:val="none"/>
        </w:rPr>
        <w:t>.</w:t>
      </w:r>
    </w:p>
    <w:p w14:paraId="5641E875" w14:textId="277867DC" w:rsidR="00D86BD0" w:rsidRDefault="00C82F56" w:rsidP="00E60534">
      <w:pPr>
        <w:pStyle w:val="Heading3"/>
      </w:pPr>
      <w:bookmarkStart w:id="46" w:name="_Toc157067024"/>
      <w:r w:rsidRPr="00C82F56">
        <w:t>Referrer/ Whistle-blower</w:t>
      </w:r>
      <w:bookmarkEnd w:id="44"/>
      <w:bookmarkEnd w:id="45"/>
      <w:r w:rsidR="00DB5161">
        <w:t>:</w:t>
      </w:r>
      <w:bookmarkEnd w:id="46"/>
    </w:p>
    <w:p w14:paraId="6AEF668F" w14:textId="7D3E6020" w:rsidR="00E60534" w:rsidRDefault="00C82F56" w:rsidP="00E60534">
      <w:pPr>
        <w:spacing w:after="120" w:line="240" w:lineRule="auto"/>
        <w:rPr>
          <w:rFonts w:cstheme="minorHAnsi"/>
        </w:rPr>
      </w:pPr>
      <w:r w:rsidRPr="00E755A0">
        <w:rPr>
          <w:rFonts w:cstheme="minorHAnsi"/>
        </w:rPr>
        <w:t>Consideration should be given to how the person making the initial referral is involved in the enquiry. Clearly this will vary depending on the circumstances of the case</w:t>
      </w:r>
      <w:r>
        <w:rPr>
          <w:rFonts w:cstheme="minorHAnsi"/>
        </w:rPr>
        <w:t xml:space="preserve"> and there </w:t>
      </w:r>
      <w:r w:rsidR="00A5307A">
        <w:rPr>
          <w:rFonts w:cstheme="minorHAnsi"/>
        </w:rPr>
        <w:t xml:space="preserve">may </w:t>
      </w:r>
      <w:r>
        <w:rPr>
          <w:rFonts w:cstheme="minorHAnsi"/>
        </w:rPr>
        <w:t>be a number of anonymous whistle-blowers.</w:t>
      </w:r>
    </w:p>
    <w:p w14:paraId="061A6D2A" w14:textId="77777777" w:rsidR="00C82F56" w:rsidRDefault="00C82F56" w:rsidP="00D86BD0">
      <w:pPr>
        <w:spacing w:after="0" w:line="240" w:lineRule="auto"/>
        <w:rPr>
          <w:rFonts w:cstheme="minorHAnsi"/>
        </w:rPr>
      </w:pPr>
      <w:r w:rsidRPr="00E755A0">
        <w:rPr>
          <w:rFonts w:cstheme="minorHAnsi"/>
        </w:rPr>
        <w:t>However, in all cases, the meeting group should ensure that the referrer is as far as possible, having regard for confidentiality, kept up to date with development and informed of the final outcomes of the enquiry.</w:t>
      </w:r>
    </w:p>
    <w:p w14:paraId="3EDAA286" w14:textId="77777777" w:rsidR="00C82F56" w:rsidRPr="00E755A0" w:rsidRDefault="00C82F56" w:rsidP="00C82F56">
      <w:pPr>
        <w:spacing w:after="0"/>
        <w:rPr>
          <w:rFonts w:cstheme="minorHAnsi"/>
        </w:rPr>
      </w:pPr>
    </w:p>
    <w:p w14:paraId="75423F16" w14:textId="3720A3C8" w:rsidR="00C82F56" w:rsidRDefault="00E67C8A" w:rsidP="00236E0D">
      <w:pPr>
        <w:pStyle w:val="Heading2"/>
      </w:pPr>
      <w:bookmarkStart w:id="47" w:name="_Toc157067025"/>
      <w:r>
        <w:t>Debrief and Learning</w:t>
      </w:r>
      <w:bookmarkEnd w:id="47"/>
    </w:p>
    <w:p w14:paraId="1EC2AB66" w14:textId="77777777" w:rsidR="00325B71" w:rsidRDefault="00E67C8A" w:rsidP="00325B71">
      <w:pPr>
        <w:sectPr w:rsidR="00325B71" w:rsidSect="00813C71">
          <w:pgSz w:w="11906" w:h="16838"/>
          <w:pgMar w:top="1440" w:right="1440" w:bottom="1440" w:left="1440" w:header="708" w:footer="708" w:gutter="0"/>
          <w:cols w:space="708"/>
          <w:docGrid w:linePitch="360"/>
        </w:sectPr>
      </w:pPr>
      <w:r w:rsidRPr="007F3A05">
        <w:t>Following the closure of the LSE process</w:t>
      </w:r>
      <w:r>
        <w:t xml:space="preserve"> the chair of the LSE MASM should ensure that a debrief session is arranged that gives all involved parties the opportunity to reflect on the LSE process, the learning gained and any changes to systems and processes required as a result of this learning.</w:t>
      </w:r>
      <w:r w:rsidR="00325B71">
        <w:t xml:space="preserve"> Please see Appendix 9 for details of Multi-agency LSE Debrief and Learning meeting format.</w:t>
      </w:r>
    </w:p>
    <w:p w14:paraId="1D954F2A" w14:textId="77777777" w:rsidR="00E60534" w:rsidRDefault="009A6E2F" w:rsidP="00325B71">
      <w:pPr>
        <w:pStyle w:val="Heading2"/>
        <w:numPr>
          <w:ilvl w:val="0"/>
          <w:numId w:val="0"/>
        </w:numPr>
        <w:ind w:left="284" w:hanging="284"/>
      </w:pPr>
      <w:bookmarkStart w:id="48" w:name="_Toc89960759"/>
      <w:bookmarkStart w:id="49" w:name="_Toc121412206"/>
      <w:bookmarkStart w:id="50" w:name="_Toc121412285"/>
      <w:bookmarkStart w:id="51" w:name="_Toc157067026"/>
      <w:bookmarkStart w:id="52" w:name="_Toc89960760"/>
      <w:r w:rsidRPr="00A66732">
        <w:lastRenderedPageBreak/>
        <w:t xml:space="preserve">Appendix 1:  </w:t>
      </w:r>
      <w:r>
        <w:t>High-Level Flowchart and Contact Details:</w:t>
      </w:r>
      <w:bookmarkEnd w:id="48"/>
      <w:bookmarkEnd w:id="49"/>
      <w:bookmarkEnd w:id="50"/>
      <w:bookmarkEnd w:id="51"/>
      <w:r w:rsidR="00E60534" w:rsidRPr="00E60534">
        <w:rPr>
          <w:noProof/>
        </w:rPr>
        <w:t xml:space="preserve"> </w:t>
      </w:r>
    </w:p>
    <w:p w14:paraId="01594887" w14:textId="2BC41CE5" w:rsidR="009A6E2F" w:rsidRDefault="00E60534" w:rsidP="00E60534">
      <w:r>
        <w:rPr>
          <w:noProof/>
        </w:rPr>
        <w:drawing>
          <wp:inline distT="0" distB="0" distL="0" distR="0" wp14:anchorId="6CA02A2E" wp14:editId="577F0EDC">
            <wp:extent cx="5734050" cy="611505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4050" cy="6115050"/>
                    </a:xfrm>
                    <a:prstGeom prst="rect">
                      <a:avLst/>
                    </a:prstGeom>
                  </pic:spPr>
                </pic:pic>
              </a:graphicData>
            </a:graphic>
          </wp:inline>
        </w:drawing>
      </w:r>
    </w:p>
    <w:p w14:paraId="16F083F3" w14:textId="77777777" w:rsidR="00E60534" w:rsidRPr="00A66732" w:rsidRDefault="00E60534" w:rsidP="00E60534">
      <w:pPr>
        <w:spacing w:after="120" w:line="240" w:lineRule="auto"/>
        <w:ind w:right="2289"/>
        <w:rPr>
          <w:rFonts w:cstheme="minorHAnsi"/>
        </w:rPr>
      </w:pPr>
      <w:bookmarkStart w:id="53" w:name="_Hlk120786536"/>
      <w:r w:rsidRPr="00A66732">
        <w:rPr>
          <w:rFonts w:cstheme="minorHAnsi"/>
        </w:rPr>
        <w:t xml:space="preserve">For </w:t>
      </w:r>
      <w:r>
        <w:rPr>
          <w:rFonts w:cstheme="minorHAnsi"/>
        </w:rPr>
        <w:t>H</w:t>
      </w:r>
      <w:r w:rsidRPr="00A66732">
        <w:rPr>
          <w:rFonts w:cstheme="minorHAnsi"/>
        </w:rPr>
        <w:t xml:space="preserve">ealth and </w:t>
      </w:r>
      <w:r>
        <w:rPr>
          <w:rFonts w:cstheme="minorHAnsi"/>
        </w:rPr>
        <w:t>S</w:t>
      </w:r>
      <w:r w:rsidRPr="00A66732">
        <w:rPr>
          <w:rFonts w:cstheme="minorHAnsi"/>
        </w:rPr>
        <w:t xml:space="preserve">ocial </w:t>
      </w:r>
      <w:r>
        <w:rPr>
          <w:rFonts w:cstheme="minorHAnsi"/>
        </w:rPr>
        <w:t>C</w:t>
      </w:r>
      <w:r w:rsidRPr="00A66732">
        <w:rPr>
          <w:rFonts w:cstheme="minorHAnsi"/>
        </w:rPr>
        <w:t xml:space="preserve">are information </w:t>
      </w:r>
      <w:r>
        <w:rPr>
          <w:rFonts w:cstheme="minorHAnsi"/>
        </w:rPr>
        <w:t xml:space="preserve">and Safeguarding Referrals, </w:t>
      </w:r>
      <w:r w:rsidRPr="00A66732">
        <w:rPr>
          <w:rFonts w:cstheme="minorHAnsi"/>
        </w:rPr>
        <w:t>contact</w:t>
      </w:r>
      <w:r>
        <w:rPr>
          <w:rFonts w:cstheme="minorHAnsi"/>
        </w:rPr>
        <w:t xml:space="preserve"> </w:t>
      </w:r>
      <w:r w:rsidRPr="00A66732">
        <w:rPr>
          <w:rFonts w:cstheme="minorHAnsi"/>
        </w:rPr>
        <w:t xml:space="preserve">Gateway to </w:t>
      </w:r>
      <w:r>
        <w:rPr>
          <w:rFonts w:cstheme="minorHAnsi"/>
        </w:rPr>
        <w:t>C</w:t>
      </w:r>
      <w:r w:rsidRPr="00A66732">
        <w:rPr>
          <w:rFonts w:cstheme="minorHAnsi"/>
        </w:rPr>
        <w:t xml:space="preserve">are Tel: </w:t>
      </w:r>
      <w:hyperlink r:id="rId25" w:tgtFrame="_blank" w:history="1">
        <w:r>
          <w:rPr>
            <w:rStyle w:val="Hyperlink"/>
            <w:rFonts w:ascii="Roboto" w:hAnsi="Roboto"/>
            <w:color w:val="600090"/>
            <w:sz w:val="21"/>
            <w:szCs w:val="21"/>
            <w:shd w:val="clear" w:color="auto" w:fill="FFFFFF"/>
          </w:rPr>
          <w:t>01422 288001</w:t>
        </w:r>
      </w:hyperlink>
    </w:p>
    <w:p w14:paraId="15E02D2B" w14:textId="77777777" w:rsidR="00E60534" w:rsidRPr="00A66732" w:rsidRDefault="00E60534" w:rsidP="00E60534">
      <w:pPr>
        <w:spacing w:after="120" w:line="240" w:lineRule="auto"/>
        <w:ind w:right="2289"/>
        <w:rPr>
          <w:rFonts w:cstheme="minorHAnsi"/>
        </w:rPr>
      </w:pPr>
      <w:r w:rsidRPr="00A66732">
        <w:rPr>
          <w:rFonts w:cstheme="minorHAnsi"/>
        </w:rPr>
        <w:t xml:space="preserve">Email: </w:t>
      </w:r>
      <w:r>
        <w:rPr>
          <w:rFonts w:cstheme="minorHAnsi"/>
        </w:rPr>
        <w:t xml:space="preserve"> </w:t>
      </w:r>
      <w:r w:rsidRPr="00A66732">
        <w:rPr>
          <w:rFonts w:cstheme="minorHAnsi"/>
        </w:rPr>
        <w:t xml:space="preserve">gatewaytocare@calderdale.gov.uk   </w:t>
      </w:r>
    </w:p>
    <w:bookmarkEnd w:id="53"/>
    <w:p w14:paraId="0C48F988" w14:textId="29A207EA" w:rsidR="00E60534" w:rsidRPr="00E60534" w:rsidRDefault="00E60534" w:rsidP="00E60534">
      <w:pPr>
        <w:spacing w:after="120" w:line="240" w:lineRule="auto"/>
        <w:rPr>
          <w:rFonts w:cstheme="minorHAnsi"/>
        </w:rPr>
      </w:pPr>
      <w:r w:rsidRPr="00A66732">
        <w:rPr>
          <w:rFonts w:cstheme="minorHAnsi"/>
        </w:rPr>
        <w:t>For more information about Safeguarding go to</w:t>
      </w:r>
      <w:r w:rsidRPr="00A66732">
        <w:rPr>
          <w:rFonts w:eastAsia="Gill Sans MT" w:cstheme="minorHAnsi"/>
          <w:sz w:val="20"/>
          <w:szCs w:val="18"/>
        </w:rPr>
        <w:t>:</w:t>
      </w:r>
      <w:r w:rsidRPr="004E11C1">
        <w:t xml:space="preserve"> </w:t>
      </w:r>
      <w:hyperlink r:id="rId26" w:history="1">
        <w:r>
          <w:rPr>
            <w:rStyle w:val="Hyperlink"/>
          </w:rPr>
          <w:t>Safeguarding adults – Safeguarding Calderdale</w:t>
        </w:r>
      </w:hyperlink>
    </w:p>
    <w:p w14:paraId="0AF797C2" w14:textId="40C9B46C" w:rsidR="00E60534" w:rsidRDefault="00E60534">
      <w:pPr>
        <w:rPr>
          <w:b/>
          <w:bCs/>
        </w:rPr>
      </w:pPr>
      <w:r>
        <w:rPr>
          <w:b/>
          <w:bCs/>
        </w:rPr>
        <w:br w:type="page"/>
      </w:r>
    </w:p>
    <w:p w14:paraId="16F3DEB4" w14:textId="6B7A9412" w:rsidR="007B23FE" w:rsidRPr="00DB5161" w:rsidRDefault="007B23FE" w:rsidP="00325B71">
      <w:pPr>
        <w:pStyle w:val="Heading2"/>
        <w:numPr>
          <w:ilvl w:val="0"/>
          <w:numId w:val="0"/>
        </w:numPr>
        <w:ind w:left="284" w:hanging="284"/>
      </w:pPr>
      <w:bookmarkStart w:id="54" w:name="_Toc157067027"/>
      <w:r w:rsidRPr="009C397F">
        <w:lastRenderedPageBreak/>
        <w:t xml:space="preserve">Appendix 2 – Multi-Agency </w:t>
      </w:r>
      <w:r w:rsidR="004E03EE" w:rsidRPr="009C397F">
        <w:t xml:space="preserve">LSE </w:t>
      </w:r>
      <w:r w:rsidRPr="009C397F">
        <w:t>Safeguarding Meeting (MASM) Suggested Agenda:</w:t>
      </w:r>
      <w:bookmarkEnd w:id="54"/>
    </w:p>
    <w:tbl>
      <w:tblPr>
        <w:tblStyle w:val="TableGrid"/>
        <w:tblW w:w="0" w:type="auto"/>
        <w:tblLook w:val="04A0" w:firstRow="1" w:lastRow="0" w:firstColumn="1" w:lastColumn="0" w:noHBand="0" w:noVBand="1"/>
      </w:tblPr>
      <w:tblGrid>
        <w:gridCol w:w="2268"/>
        <w:gridCol w:w="2298"/>
        <w:gridCol w:w="2415"/>
        <w:gridCol w:w="2035"/>
      </w:tblGrid>
      <w:tr w:rsidR="007B23FE" w14:paraId="5A8B6237" w14:textId="77777777" w:rsidTr="00C40196">
        <w:tc>
          <w:tcPr>
            <w:tcW w:w="2268" w:type="dxa"/>
          </w:tcPr>
          <w:p w14:paraId="1222366C" w14:textId="77777777" w:rsidR="007B23FE" w:rsidRPr="002D555B" w:rsidRDefault="007B23FE" w:rsidP="00C40196">
            <w:pPr>
              <w:rPr>
                <w:b/>
                <w:bCs/>
                <w:lang w:eastAsia="en-GB"/>
              </w:rPr>
            </w:pPr>
            <w:r w:rsidRPr="002D555B">
              <w:rPr>
                <w:b/>
                <w:bCs/>
                <w:lang w:eastAsia="en-GB"/>
              </w:rPr>
              <w:t>Agenda Item:</w:t>
            </w:r>
          </w:p>
        </w:tc>
        <w:tc>
          <w:tcPr>
            <w:tcW w:w="2298" w:type="dxa"/>
          </w:tcPr>
          <w:p w14:paraId="458E87C1" w14:textId="77777777" w:rsidR="007B23FE" w:rsidRPr="002D555B" w:rsidRDefault="007B23FE" w:rsidP="00C40196">
            <w:pPr>
              <w:rPr>
                <w:b/>
                <w:bCs/>
                <w:lang w:eastAsia="en-GB"/>
              </w:rPr>
            </w:pPr>
            <w:r w:rsidRPr="002D555B">
              <w:rPr>
                <w:b/>
                <w:bCs/>
                <w:lang w:eastAsia="en-GB"/>
              </w:rPr>
              <w:t>Context:</w:t>
            </w:r>
          </w:p>
        </w:tc>
        <w:tc>
          <w:tcPr>
            <w:tcW w:w="2415" w:type="dxa"/>
          </w:tcPr>
          <w:p w14:paraId="07FACBA3" w14:textId="77777777" w:rsidR="007B23FE" w:rsidRPr="002D555B" w:rsidRDefault="007B23FE" w:rsidP="00C40196">
            <w:pPr>
              <w:rPr>
                <w:b/>
                <w:bCs/>
                <w:lang w:eastAsia="en-GB"/>
              </w:rPr>
            </w:pPr>
            <w:r w:rsidRPr="002D555B">
              <w:rPr>
                <w:b/>
                <w:bCs/>
                <w:lang w:eastAsia="en-GB"/>
              </w:rPr>
              <w:t>Responsible Agency:</w:t>
            </w:r>
          </w:p>
        </w:tc>
        <w:tc>
          <w:tcPr>
            <w:tcW w:w="2035" w:type="dxa"/>
          </w:tcPr>
          <w:p w14:paraId="3B62DB7F" w14:textId="77777777" w:rsidR="007B23FE" w:rsidRPr="002D555B" w:rsidRDefault="007B23FE" w:rsidP="00C40196">
            <w:pPr>
              <w:rPr>
                <w:b/>
                <w:bCs/>
                <w:lang w:eastAsia="en-GB"/>
              </w:rPr>
            </w:pPr>
            <w:r w:rsidRPr="002D555B">
              <w:rPr>
                <w:b/>
                <w:bCs/>
                <w:lang w:eastAsia="en-GB"/>
              </w:rPr>
              <w:t>Time Frames:</w:t>
            </w:r>
          </w:p>
        </w:tc>
      </w:tr>
      <w:tr w:rsidR="007B23FE" w:rsidRPr="002D555B" w14:paraId="0226523C" w14:textId="77777777" w:rsidTr="00C40196">
        <w:tc>
          <w:tcPr>
            <w:tcW w:w="2268" w:type="dxa"/>
          </w:tcPr>
          <w:p w14:paraId="3043B1F8" w14:textId="77777777" w:rsidR="007B23FE" w:rsidRPr="00971895" w:rsidRDefault="007B23FE" w:rsidP="00C40196">
            <w:pPr>
              <w:pStyle w:val="NoSpacing"/>
            </w:pPr>
            <w:r w:rsidRPr="00971895">
              <w:t>Introduction &amp; Ground Rules</w:t>
            </w:r>
          </w:p>
        </w:tc>
        <w:tc>
          <w:tcPr>
            <w:tcW w:w="2298" w:type="dxa"/>
          </w:tcPr>
          <w:p w14:paraId="300F56B4" w14:textId="77777777" w:rsidR="007B23FE" w:rsidRPr="002D555B" w:rsidRDefault="007B23FE" w:rsidP="00C40196">
            <w:pPr>
              <w:pStyle w:val="NoSpacing"/>
            </w:pPr>
            <w:r w:rsidRPr="002D555B">
              <w:t xml:space="preserve">Include roles in Safeguarding enquiry so far, confidentiality etc. </w:t>
            </w:r>
          </w:p>
          <w:p w14:paraId="577E0889" w14:textId="77777777" w:rsidR="007B23FE" w:rsidRPr="00971895" w:rsidRDefault="007B23FE" w:rsidP="00C40196">
            <w:pPr>
              <w:rPr>
                <w:rFonts w:cstheme="minorHAnsi"/>
              </w:rPr>
            </w:pPr>
          </w:p>
        </w:tc>
        <w:tc>
          <w:tcPr>
            <w:tcW w:w="2415" w:type="dxa"/>
          </w:tcPr>
          <w:p w14:paraId="191A651C" w14:textId="77777777" w:rsidR="007B23FE" w:rsidRPr="002D555B" w:rsidRDefault="007B23FE" w:rsidP="00C40196">
            <w:pPr>
              <w:rPr>
                <w:lang w:eastAsia="en-GB"/>
              </w:rPr>
            </w:pPr>
          </w:p>
        </w:tc>
        <w:tc>
          <w:tcPr>
            <w:tcW w:w="2035" w:type="dxa"/>
          </w:tcPr>
          <w:p w14:paraId="24A5A7E2" w14:textId="77777777" w:rsidR="007B23FE" w:rsidRPr="002D555B" w:rsidRDefault="007B23FE" w:rsidP="00C40196">
            <w:pPr>
              <w:rPr>
                <w:lang w:eastAsia="en-GB"/>
              </w:rPr>
            </w:pPr>
          </w:p>
        </w:tc>
      </w:tr>
      <w:tr w:rsidR="007B23FE" w:rsidRPr="002D555B" w14:paraId="29B93E6B" w14:textId="77777777" w:rsidTr="00C40196">
        <w:tc>
          <w:tcPr>
            <w:tcW w:w="2268" w:type="dxa"/>
          </w:tcPr>
          <w:p w14:paraId="132D8611" w14:textId="77777777" w:rsidR="007B23FE" w:rsidRPr="00971895" w:rsidRDefault="007B23FE" w:rsidP="00C40196">
            <w:pPr>
              <w:pStyle w:val="NoSpacing"/>
            </w:pPr>
            <w:r w:rsidRPr="00971895">
              <w:t>Purpose of meeting</w:t>
            </w:r>
          </w:p>
        </w:tc>
        <w:tc>
          <w:tcPr>
            <w:tcW w:w="2298" w:type="dxa"/>
          </w:tcPr>
          <w:p w14:paraId="547CEB7B" w14:textId="77777777" w:rsidR="007B23FE" w:rsidRPr="00971895" w:rsidRDefault="007B23FE" w:rsidP="00C40196">
            <w:pPr>
              <w:pStyle w:val="NoSpacing"/>
            </w:pPr>
            <w:r w:rsidRPr="00971895">
              <w:t>Why has the MASM meeting been called</w:t>
            </w:r>
          </w:p>
        </w:tc>
        <w:tc>
          <w:tcPr>
            <w:tcW w:w="2415" w:type="dxa"/>
          </w:tcPr>
          <w:p w14:paraId="5762AC18" w14:textId="77777777" w:rsidR="007B23FE" w:rsidRPr="002D555B" w:rsidRDefault="007B23FE" w:rsidP="00C40196">
            <w:pPr>
              <w:rPr>
                <w:lang w:eastAsia="en-GB"/>
              </w:rPr>
            </w:pPr>
          </w:p>
        </w:tc>
        <w:tc>
          <w:tcPr>
            <w:tcW w:w="2035" w:type="dxa"/>
          </w:tcPr>
          <w:p w14:paraId="7F70E976" w14:textId="77777777" w:rsidR="007B23FE" w:rsidRPr="002D555B" w:rsidRDefault="007B23FE" w:rsidP="00C40196">
            <w:pPr>
              <w:rPr>
                <w:lang w:eastAsia="en-GB"/>
              </w:rPr>
            </w:pPr>
          </w:p>
        </w:tc>
      </w:tr>
      <w:tr w:rsidR="00A5307A" w:rsidRPr="002D555B" w14:paraId="583A84C2" w14:textId="77777777" w:rsidTr="00C40196">
        <w:tc>
          <w:tcPr>
            <w:tcW w:w="2268" w:type="dxa"/>
          </w:tcPr>
          <w:p w14:paraId="746AEDF7" w14:textId="55E9DA6F" w:rsidR="00A5307A" w:rsidRPr="002D555B" w:rsidRDefault="00A5307A" w:rsidP="00C40196">
            <w:pPr>
              <w:pStyle w:val="NoSpacing"/>
            </w:pPr>
            <w:r>
              <w:t>Summary of individual safeguarding enquiries</w:t>
            </w:r>
          </w:p>
        </w:tc>
        <w:tc>
          <w:tcPr>
            <w:tcW w:w="2298" w:type="dxa"/>
          </w:tcPr>
          <w:p w14:paraId="453801CF" w14:textId="77777777" w:rsidR="00A5307A" w:rsidRPr="002D555B" w:rsidRDefault="00A5307A" w:rsidP="00C40196">
            <w:pPr>
              <w:pStyle w:val="NoSpacing"/>
            </w:pPr>
          </w:p>
        </w:tc>
        <w:tc>
          <w:tcPr>
            <w:tcW w:w="2415" w:type="dxa"/>
          </w:tcPr>
          <w:p w14:paraId="10AA3D64" w14:textId="77777777" w:rsidR="00A5307A" w:rsidRPr="002D555B" w:rsidRDefault="00A5307A" w:rsidP="00C40196">
            <w:pPr>
              <w:rPr>
                <w:lang w:eastAsia="en-GB"/>
              </w:rPr>
            </w:pPr>
          </w:p>
        </w:tc>
        <w:tc>
          <w:tcPr>
            <w:tcW w:w="2035" w:type="dxa"/>
          </w:tcPr>
          <w:p w14:paraId="6E01DAF9" w14:textId="77777777" w:rsidR="00A5307A" w:rsidRPr="002D555B" w:rsidRDefault="00A5307A" w:rsidP="00C40196">
            <w:pPr>
              <w:rPr>
                <w:lang w:eastAsia="en-GB"/>
              </w:rPr>
            </w:pPr>
          </w:p>
        </w:tc>
      </w:tr>
      <w:tr w:rsidR="007B23FE" w:rsidRPr="002D555B" w14:paraId="00A5B132" w14:textId="77777777" w:rsidTr="00C40196">
        <w:tc>
          <w:tcPr>
            <w:tcW w:w="2268" w:type="dxa"/>
          </w:tcPr>
          <w:p w14:paraId="429C4DBC" w14:textId="77777777" w:rsidR="007B23FE" w:rsidRPr="002D555B" w:rsidRDefault="007B23FE" w:rsidP="00C40196">
            <w:pPr>
              <w:pStyle w:val="NoSpacing"/>
              <w:rPr>
                <w:lang w:eastAsia="en-GB"/>
              </w:rPr>
            </w:pPr>
            <w:r w:rsidRPr="002D555B">
              <w:t>Terms of reference for the enquiry</w:t>
            </w:r>
          </w:p>
        </w:tc>
        <w:tc>
          <w:tcPr>
            <w:tcW w:w="2298" w:type="dxa"/>
          </w:tcPr>
          <w:p w14:paraId="015F0E5A" w14:textId="77777777" w:rsidR="007B23FE" w:rsidRPr="002D555B" w:rsidRDefault="007B23FE" w:rsidP="00C40196">
            <w:pPr>
              <w:pStyle w:val="NoSpacing"/>
            </w:pPr>
            <w:r w:rsidRPr="002D555B">
              <w:t>Immediate or further action required to safeguard residents.</w:t>
            </w:r>
          </w:p>
          <w:p w14:paraId="36B63922" w14:textId="77777777" w:rsidR="007B23FE" w:rsidRPr="002D555B" w:rsidRDefault="007B23FE" w:rsidP="00C40196">
            <w:pPr>
              <w:pStyle w:val="NoSpacing"/>
            </w:pPr>
            <w:r w:rsidRPr="002D555B">
              <w:t>Safeguarding considerations of any referrals so far.</w:t>
            </w:r>
          </w:p>
          <w:p w14:paraId="07BAAE2A" w14:textId="77777777" w:rsidR="007B23FE" w:rsidRPr="002D555B" w:rsidRDefault="007B23FE" w:rsidP="00C40196">
            <w:pPr>
              <w:pStyle w:val="NoSpacing"/>
            </w:pPr>
            <w:r w:rsidRPr="002D555B">
              <w:t>Planning any further enquiries – clarifying roles and responsibilities</w:t>
            </w:r>
          </w:p>
          <w:p w14:paraId="1FB833E9" w14:textId="77777777" w:rsidR="007B23FE" w:rsidRPr="002D555B" w:rsidRDefault="007B23FE" w:rsidP="00C40196">
            <w:pPr>
              <w:pStyle w:val="NoSpacing"/>
              <w:rPr>
                <w:lang w:eastAsia="en-GB"/>
              </w:rPr>
            </w:pPr>
            <w:r w:rsidRPr="002D555B">
              <w:t>The need to undertake reassessment of needs for all residents – based on the evidence provided</w:t>
            </w:r>
          </w:p>
        </w:tc>
        <w:tc>
          <w:tcPr>
            <w:tcW w:w="2415" w:type="dxa"/>
          </w:tcPr>
          <w:p w14:paraId="78AC4363" w14:textId="77777777" w:rsidR="007B23FE" w:rsidRPr="002D555B" w:rsidRDefault="007B23FE" w:rsidP="00C40196">
            <w:pPr>
              <w:rPr>
                <w:lang w:eastAsia="en-GB"/>
              </w:rPr>
            </w:pPr>
          </w:p>
        </w:tc>
        <w:tc>
          <w:tcPr>
            <w:tcW w:w="2035" w:type="dxa"/>
          </w:tcPr>
          <w:p w14:paraId="03A233B1" w14:textId="77777777" w:rsidR="007B23FE" w:rsidRPr="002D555B" w:rsidRDefault="007B23FE" w:rsidP="00C40196">
            <w:pPr>
              <w:rPr>
                <w:lang w:eastAsia="en-GB"/>
              </w:rPr>
            </w:pPr>
          </w:p>
        </w:tc>
      </w:tr>
      <w:tr w:rsidR="007B23FE" w:rsidRPr="002D555B" w14:paraId="302F51C0" w14:textId="77777777" w:rsidTr="00C40196">
        <w:tc>
          <w:tcPr>
            <w:tcW w:w="2268" w:type="dxa"/>
          </w:tcPr>
          <w:p w14:paraId="6F8B7EDD" w14:textId="77777777" w:rsidR="007B23FE" w:rsidRPr="002D555B" w:rsidRDefault="007B23FE" w:rsidP="00C40196">
            <w:pPr>
              <w:pStyle w:val="NoSpacing"/>
            </w:pPr>
            <w:r>
              <w:t>Identification of nominated professional link-liaison for people and their families</w:t>
            </w:r>
          </w:p>
        </w:tc>
        <w:tc>
          <w:tcPr>
            <w:tcW w:w="2298" w:type="dxa"/>
          </w:tcPr>
          <w:p w14:paraId="558ECADD" w14:textId="77777777" w:rsidR="007B23FE" w:rsidRPr="002D555B" w:rsidRDefault="007B23FE" w:rsidP="00C40196">
            <w:pPr>
              <w:pStyle w:val="NoSpacing"/>
            </w:pPr>
            <w:r>
              <w:t xml:space="preserve">To aid effective communication and alleviate anxieties and ensure co-production and voices heard as part of decision-making. </w:t>
            </w:r>
          </w:p>
        </w:tc>
        <w:tc>
          <w:tcPr>
            <w:tcW w:w="2415" w:type="dxa"/>
          </w:tcPr>
          <w:p w14:paraId="620958EC" w14:textId="77777777" w:rsidR="007B23FE" w:rsidRPr="002D555B" w:rsidRDefault="007B23FE" w:rsidP="00C40196"/>
        </w:tc>
        <w:tc>
          <w:tcPr>
            <w:tcW w:w="2035" w:type="dxa"/>
          </w:tcPr>
          <w:p w14:paraId="1BA5515E" w14:textId="77777777" w:rsidR="007B23FE" w:rsidRPr="002D555B" w:rsidRDefault="007B23FE" w:rsidP="00C40196"/>
        </w:tc>
      </w:tr>
      <w:tr w:rsidR="007B23FE" w:rsidRPr="002D555B" w14:paraId="294915C9" w14:textId="77777777" w:rsidTr="00C40196">
        <w:tc>
          <w:tcPr>
            <w:tcW w:w="2268" w:type="dxa"/>
          </w:tcPr>
          <w:p w14:paraId="225FFAFC" w14:textId="77777777" w:rsidR="007B23FE" w:rsidRPr="002D555B" w:rsidRDefault="007B23FE" w:rsidP="00C40196">
            <w:pPr>
              <w:pStyle w:val="NoSpacing"/>
              <w:rPr>
                <w:lang w:eastAsia="en-GB"/>
              </w:rPr>
            </w:pPr>
            <w:r w:rsidRPr="002D555B">
              <w:rPr>
                <w:rFonts w:eastAsia="Trebuchet MS"/>
              </w:rPr>
              <w:t>Report on issues raised so far (</w:t>
            </w:r>
            <w:r w:rsidRPr="002D555B">
              <w:t>Include any actions taken so far)</w:t>
            </w:r>
          </w:p>
        </w:tc>
        <w:tc>
          <w:tcPr>
            <w:tcW w:w="2298" w:type="dxa"/>
          </w:tcPr>
          <w:p w14:paraId="572C4CEB" w14:textId="77777777" w:rsidR="007B23FE" w:rsidRPr="002D555B" w:rsidRDefault="007B23FE" w:rsidP="00C40196">
            <w:pPr>
              <w:pStyle w:val="NoSpacing"/>
            </w:pPr>
            <w:r w:rsidRPr="002D555B">
              <w:t xml:space="preserve">Those placed and funded by Calderdale </w:t>
            </w:r>
          </w:p>
          <w:p w14:paraId="598FB620" w14:textId="7E80FFE9" w:rsidR="007B23FE" w:rsidRPr="002D555B" w:rsidRDefault="007B23FE" w:rsidP="00C40196">
            <w:pPr>
              <w:pStyle w:val="NoSpacing"/>
              <w:rPr>
                <w:lang w:eastAsia="en-GB"/>
              </w:rPr>
            </w:pPr>
            <w:r w:rsidRPr="002D555B">
              <w:t xml:space="preserve">Those placed and funded by NHS Calderdale, Out of area placements, </w:t>
            </w:r>
            <w:r w:rsidR="000B37B2" w:rsidRPr="002D555B">
              <w:t>Self-funders</w:t>
            </w:r>
          </w:p>
        </w:tc>
        <w:tc>
          <w:tcPr>
            <w:tcW w:w="2415" w:type="dxa"/>
          </w:tcPr>
          <w:p w14:paraId="794AD2E5" w14:textId="77777777" w:rsidR="007B23FE" w:rsidRPr="002D555B" w:rsidRDefault="007B23FE" w:rsidP="00C40196">
            <w:pPr>
              <w:rPr>
                <w:lang w:eastAsia="en-GB"/>
              </w:rPr>
            </w:pPr>
          </w:p>
        </w:tc>
        <w:tc>
          <w:tcPr>
            <w:tcW w:w="2035" w:type="dxa"/>
          </w:tcPr>
          <w:p w14:paraId="4689A343" w14:textId="77777777" w:rsidR="007B23FE" w:rsidRPr="002D555B" w:rsidRDefault="007B23FE" w:rsidP="00C40196">
            <w:pPr>
              <w:rPr>
                <w:lang w:eastAsia="en-GB"/>
              </w:rPr>
            </w:pPr>
          </w:p>
        </w:tc>
      </w:tr>
      <w:tr w:rsidR="007B23FE" w:rsidRPr="002D555B" w14:paraId="2B8ACF3C" w14:textId="77777777" w:rsidTr="00C40196">
        <w:tc>
          <w:tcPr>
            <w:tcW w:w="2268" w:type="dxa"/>
          </w:tcPr>
          <w:p w14:paraId="73D58EB1" w14:textId="77777777" w:rsidR="007B23FE" w:rsidRPr="002D555B" w:rsidRDefault="007B23FE" w:rsidP="00C40196">
            <w:pPr>
              <w:pStyle w:val="NoSpacing"/>
              <w:rPr>
                <w:lang w:eastAsia="en-GB"/>
              </w:rPr>
            </w:pPr>
            <w:r w:rsidRPr="002D555B">
              <w:t>Decision regarding full scale enquiry.</w:t>
            </w:r>
          </w:p>
        </w:tc>
        <w:tc>
          <w:tcPr>
            <w:tcW w:w="2298" w:type="dxa"/>
          </w:tcPr>
          <w:p w14:paraId="62D011DD" w14:textId="77777777" w:rsidR="007B23FE" w:rsidRPr="002D555B" w:rsidRDefault="007B23FE" w:rsidP="00C40196">
            <w:pPr>
              <w:pStyle w:val="NoSpacing"/>
            </w:pPr>
            <w:r w:rsidRPr="002D555B">
              <w:t xml:space="preserve">Decide on how to proceed. </w:t>
            </w:r>
          </w:p>
          <w:p w14:paraId="634A24F9" w14:textId="77777777" w:rsidR="007B23FE" w:rsidRPr="002D555B" w:rsidRDefault="007B23FE" w:rsidP="00C40196">
            <w:pPr>
              <w:pStyle w:val="NoSpacing"/>
            </w:pPr>
            <w:r w:rsidRPr="002D555B">
              <w:t xml:space="preserve">Proposed timescale for enquiry. </w:t>
            </w:r>
          </w:p>
          <w:p w14:paraId="2E794E8F" w14:textId="77777777" w:rsidR="007B23FE" w:rsidRPr="002D555B" w:rsidRDefault="007B23FE" w:rsidP="00C40196">
            <w:pPr>
              <w:rPr>
                <w:lang w:eastAsia="en-GB"/>
              </w:rPr>
            </w:pPr>
          </w:p>
        </w:tc>
        <w:tc>
          <w:tcPr>
            <w:tcW w:w="2415" w:type="dxa"/>
          </w:tcPr>
          <w:p w14:paraId="7EC77F37" w14:textId="77777777" w:rsidR="007B23FE" w:rsidRPr="002D555B" w:rsidRDefault="007B23FE" w:rsidP="00C40196">
            <w:pPr>
              <w:rPr>
                <w:lang w:eastAsia="en-GB"/>
              </w:rPr>
            </w:pPr>
          </w:p>
        </w:tc>
        <w:tc>
          <w:tcPr>
            <w:tcW w:w="2035" w:type="dxa"/>
          </w:tcPr>
          <w:p w14:paraId="466854D2" w14:textId="77777777" w:rsidR="007B23FE" w:rsidRPr="002D555B" w:rsidRDefault="007B23FE" w:rsidP="00C40196">
            <w:pPr>
              <w:rPr>
                <w:lang w:eastAsia="en-GB"/>
              </w:rPr>
            </w:pPr>
          </w:p>
        </w:tc>
      </w:tr>
      <w:tr w:rsidR="007B23FE" w:rsidRPr="002D555B" w14:paraId="2E755E0A" w14:textId="77777777" w:rsidTr="00C40196">
        <w:tc>
          <w:tcPr>
            <w:tcW w:w="2268" w:type="dxa"/>
          </w:tcPr>
          <w:p w14:paraId="2C8D85D3" w14:textId="77777777" w:rsidR="007B23FE" w:rsidRDefault="007B23FE" w:rsidP="00C40196">
            <w:pPr>
              <w:pStyle w:val="NoSpacing"/>
            </w:pPr>
            <w:r w:rsidRPr="002D555B">
              <w:rPr>
                <w:rFonts w:eastAsia="Trebuchet MS"/>
              </w:rPr>
              <w:t xml:space="preserve">Action </w:t>
            </w:r>
            <w:r w:rsidRPr="002D555B">
              <w:t xml:space="preserve">– </w:t>
            </w:r>
            <w:r>
              <w:t xml:space="preserve">Chair to allocate </w:t>
            </w:r>
            <w:r w:rsidRPr="002D555B">
              <w:t>who is responsible for each action? And timescales for achieving them</w:t>
            </w:r>
          </w:p>
          <w:p w14:paraId="073D0D90" w14:textId="34D67E56" w:rsidR="00A5307A" w:rsidRPr="002D555B" w:rsidRDefault="00A5307A" w:rsidP="00C40196">
            <w:pPr>
              <w:pStyle w:val="NoSpacing"/>
              <w:rPr>
                <w:lang w:eastAsia="en-GB"/>
              </w:rPr>
            </w:pPr>
            <w:r>
              <w:rPr>
                <w:lang w:eastAsia="en-GB"/>
              </w:rPr>
              <w:lastRenderedPageBreak/>
              <w:t>Agreement on how an action plan will be formed</w:t>
            </w:r>
            <w:r w:rsidR="00F55981">
              <w:rPr>
                <w:lang w:eastAsia="en-GB"/>
              </w:rPr>
              <w:t xml:space="preserve">. </w:t>
            </w:r>
          </w:p>
        </w:tc>
        <w:tc>
          <w:tcPr>
            <w:tcW w:w="2298" w:type="dxa"/>
          </w:tcPr>
          <w:p w14:paraId="4C3DFBD8" w14:textId="77777777" w:rsidR="007B23FE" w:rsidRPr="002D555B" w:rsidRDefault="007B23FE" w:rsidP="00C40196">
            <w:pPr>
              <w:pStyle w:val="NoSpacing"/>
            </w:pPr>
            <w:r w:rsidRPr="002D555B">
              <w:lastRenderedPageBreak/>
              <w:t>Identification of who is to undertake enquiry</w:t>
            </w:r>
            <w:r>
              <w:t>.</w:t>
            </w:r>
          </w:p>
          <w:p w14:paraId="00F35F98" w14:textId="6D1A7DD0" w:rsidR="007B23FE" w:rsidRDefault="007B23FE" w:rsidP="00C40196">
            <w:pPr>
              <w:pStyle w:val="NoSpacing"/>
            </w:pPr>
            <w:r w:rsidRPr="002D555B">
              <w:t xml:space="preserve">Clarification of NHS </w:t>
            </w:r>
            <w:r>
              <w:t>Calderdale</w:t>
            </w:r>
            <w:r w:rsidRPr="002D555B">
              <w:t xml:space="preserve"> staff in the enquiry process. </w:t>
            </w:r>
          </w:p>
          <w:p w14:paraId="0242C540" w14:textId="77777777" w:rsidR="000B37B2" w:rsidRPr="002D555B" w:rsidRDefault="000B37B2" w:rsidP="000B37B2">
            <w:pPr>
              <w:pStyle w:val="NoSpacing"/>
            </w:pPr>
            <w:r w:rsidRPr="002D555B">
              <w:lastRenderedPageBreak/>
              <w:t xml:space="preserve">Level of support available to residents and relatives. </w:t>
            </w:r>
          </w:p>
          <w:p w14:paraId="5695D069" w14:textId="77777777" w:rsidR="000B37B2" w:rsidRPr="002D555B" w:rsidRDefault="000B37B2" w:rsidP="000B37B2">
            <w:pPr>
              <w:pStyle w:val="NoSpacing"/>
            </w:pPr>
            <w:r w:rsidRPr="002D555B">
              <w:t xml:space="preserve">Information to be sent to relatives </w:t>
            </w:r>
            <w:r w:rsidRPr="002D555B">
              <w:rPr>
                <w:sz w:val="16"/>
                <w:szCs w:val="16"/>
              </w:rPr>
              <w:t>(Standard letter available see appendix</w:t>
            </w:r>
            <w:r>
              <w:rPr>
                <w:sz w:val="16"/>
                <w:szCs w:val="16"/>
              </w:rPr>
              <w:t xml:space="preserve"> 4</w:t>
            </w:r>
            <w:r w:rsidRPr="002D555B">
              <w:rPr>
                <w:sz w:val="16"/>
                <w:szCs w:val="16"/>
              </w:rPr>
              <w:t xml:space="preserve">). </w:t>
            </w:r>
          </w:p>
          <w:p w14:paraId="2C598B53" w14:textId="77777777" w:rsidR="000B37B2" w:rsidRPr="002D555B" w:rsidRDefault="000B37B2" w:rsidP="00C40196">
            <w:pPr>
              <w:pStyle w:val="NoSpacing"/>
            </w:pPr>
          </w:p>
          <w:p w14:paraId="13A700B2" w14:textId="77777777" w:rsidR="007B23FE" w:rsidRPr="002D555B" w:rsidRDefault="007B23FE" w:rsidP="00C40196">
            <w:pPr>
              <w:pStyle w:val="NoSpacing"/>
            </w:pPr>
            <w:r w:rsidRPr="002D555B">
              <w:t xml:space="preserve">Responsibility for out of area placements and fully funded </w:t>
            </w:r>
            <w:r>
              <w:t xml:space="preserve">CHC </w:t>
            </w:r>
            <w:r w:rsidRPr="002D555B">
              <w:t xml:space="preserve">residents </w:t>
            </w:r>
          </w:p>
          <w:p w14:paraId="08D2622B" w14:textId="77777777" w:rsidR="007B23FE" w:rsidRPr="002D555B" w:rsidRDefault="007B23FE" w:rsidP="00C40196">
            <w:pPr>
              <w:pStyle w:val="NoSpacing"/>
            </w:pPr>
            <w:r w:rsidRPr="002D555B">
              <w:t xml:space="preserve">Contact with any out of area local authorities as necessary. This could include Social Work Teams, Contracts Teams, and Safeguarding Units. </w:t>
            </w:r>
            <w:r w:rsidRPr="002D555B">
              <w:rPr>
                <w:sz w:val="16"/>
                <w:szCs w:val="16"/>
              </w:rPr>
              <w:t xml:space="preserve">(Standard letter available, see appendix </w:t>
            </w:r>
            <w:r>
              <w:rPr>
                <w:sz w:val="16"/>
                <w:szCs w:val="16"/>
              </w:rPr>
              <w:t>5</w:t>
            </w:r>
            <w:r w:rsidRPr="002D555B">
              <w:rPr>
                <w:sz w:val="16"/>
                <w:szCs w:val="16"/>
              </w:rPr>
              <w:t>).</w:t>
            </w:r>
            <w:r w:rsidRPr="002D555B">
              <w:t xml:space="preserve"> </w:t>
            </w:r>
          </w:p>
          <w:p w14:paraId="43562FFF" w14:textId="77777777" w:rsidR="007B23FE" w:rsidRPr="002D555B" w:rsidRDefault="007B23FE" w:rsidP="00C40196">
            <w:pPr>
              <w:pStyle w:val="NoSpacing"/>
            </w:pPr>
            <w:r w:rsidRPr="002D555B">
              <w:t xml:space="preserve">Role of Contracts Unit. </w:t>
            </w:r>
          </w:p>
          <w:p w14:paraId="5C7C162D" w14:textId="77777777" w:rsidR="007B23FE" w:rsidRPr="002D555B" w:rsidRDefault="007B23FE" w:rsidP="00C40196">
            <w:pPr>
              <w:pStyle w:val="NoSpacing"/>
            </w:pPr>
            <w:r w:rsidRPr="002D555B">
              <w:t xml:space="preserve">Keeping Care Quality Commission informed. </w:t>
            </w:r>
          </w:p>
          <w:p w14:paraId="1F6B97EA" w14:textId="77777777" w:rsidR="007B23FE" w:rsidRPr="002D555B" w:rsidRDefault="007B23FE" w:rsidP="00C40196">
            <w:pPr>
              <w:pStyle w:val="NoSpacing"/>
            </w:pPr>
            <w:r w:rsidRPr="002D555B">
              <w:t xml:space="preserve">Anyone else needed to be involved in Management of the Enquiry. </w:t>
            </w:r>
          </w:p>
          <w:p w14:paraId="7DAF9E22" w14:textId="77777777" w:rsidR="007B23FE" w:rsidRPr="002D555B" w:rsidRDefault="007B23FE" w:rsidP="00C40196">
            <w:pPr>
              <w:pStyle w:val="NoSpacing"/>
            </w:pPr>
            <w:r w:rsidRPr="002D555B">
              <w:t xml:space="preserve">Any potential press/media issues. </w:t>
            </w:r>
          </w:p>
          <w:p w14:paraId="55526C0C" w14:textId="77777777" w:rsidR="007B23FE" w:rsidRPr="002D555B" w:rsidRDefault="007B23FE" w:rsidP="00C40196">
            <w:pPr>
              <w:pStyle w:val="NoSpacing"/>
            </w:pPr>
            <w:r w:rsidRPr="002D555B">
              <w:t xml:space="preserve">Any legal advice required. </w:t>
            </w:r>
          </w:p>
          <w:p w14:paraId="5607DF33" w14:textId="77777777" w:rsidR="007B23FE" w:rsidRPr="002D555B" w:rsidRDefault="007B23FE" w:rsidP="00C40196">
            <w:pPr>
              <w:pStyle w:val="NoSpacing"/>
            </w:pPr>
            <w:r w:rsidRPr="002D555B">
              <w:t xml:space="preserve">What type of contact is required with the Home/manager? How this fits in with any contact heads of Commissioning may have/have had already. </w:t>
            </w:r>
          </w:p>
          <w:p w14:paraId="070A9560" w14:textId="77777777" w:rsidR="007B23FE" w:rsidRPr="002D555B" w:rsidRDefault="007B23FE" w:rsidP="00C40196">
            <w:pPr>
              <w:pStyle w:val="NoSpacing"/>
            </w:pPr>
            <w:r w:rsidRPr="002D555B">
              <w:t xml:space="preserve">Dates for future meetings. </w:t>
            </w:r>
          </w:p>
          <w:p w14:paraId="3C11424A" w14:textId="77777777" w:rsidR="007B23FE" w:rsidRPr="002D555B" w:rsidRDefault="007B23FE" w:rsidP="00C40196">
            <w:pPr>
              <w:pStyle w:val="NoSpacing"/>
              <w:rPr>
                <w:lang w:eastAsia="en-GB"/>
              </w:rPr>
            </w:pPr>
          </w:p>
        </w:tc>
        <w:tc>
          <w:tcPr>
            <w:tcW w:w="2415" w:type="dxa"/>
          </w:tcPr>
          <w:p w14:paraId="7D28F67B" w14:textId="77777777" w:rsidR="007B23FE" w:rsidRPr="002D555B" w:rsidRDefault="007B23FE" w:rsidP="00C40196">
            <w:pPr>
              <w:rPr>
                <w:lang w:eastAsia="en-GB"/>
              </w:rPr>
            </w:pPr>
          </w:p>
        </w:tc>
        <w:tc>
          <w:tcPr>
            <w:tcW w:w="2035" w:type="dxa"/>
          </w:tcPr>
          <w:p w14:paraId="2784D894" w14:textId="77777777" w:rsidR="007B23FE" w:rsidRPr="002D555B" w:rsidRDefault="007B23FE" w:rsidP="00C40196">
            <w:pPr>
              <w:rPr>
                <w:lang w:eastAsia="en-GB"/>
              </w:rPr>
            </w:pPr>
          </w:p>
        </w:tc>
      </w:tr>
      <w:tr w:rsidR="007B23FE" w14:paraId="0D3DD56B" w14:textId="77777777" w:rsidTr="00C40196">
        <w:tc>
          <w:tcPr>
            <w:tcW w:w="2268" w:type="dxa"/>
          </w:tcPr>
          <w:p w14:paraId="67A568EB" w14:textId="77777777" w:rsidR="007B23FE" w:rsidRDefault="007B23FE" w:rsidP="00C40196">
            <w:pPr>
              <w:rPr>
                <w:lang w:eastAsia="en-GB"/>
              </w:rPr>
            </w:pPr>
            <w:r w:rsidRPr="00971895">
              <w:t>Any Other Business:</w:t>
            </w:r>
          </w:p>
        </w:tc>
        <w:tc>
          <w:tcPr>
            <w:tcW w:w="2298" w:type="dxa"/>
          </w:tcPr>
          <w:p w14:paraId="4FB6DD8E" w14:textId="77777777" w:rsidR="007B23FE" w:rsidRDefault="007B23FE" w:rsidP="00C40196">
            <w:pPr>
              <w:rPr>
                <w:lang w:eastAsia="en-GB"/>
              </w:rPr>
            </w:pPr>
          </w:p>
        </w:tc>
        <w:tc>
          <w:tcPr>
            <w:tcW w:w="2415" w:type="dxa"/>
          </w:tcPr>
          <w:p w14:paraId="355E76CA" w14:textId="77777777" w:rsidR="007B23FE" w:rsidRDefault="007B23FE" w:rsidP="00C40196">
            <w:pPr>
              <w:rPr>
                <w:lang w:eastAsia="en-GB"/>
              </w:rPr>
            </w:pPr>
          </w:p>
        </w:tc>
        <w:tc>
          <w:tcPr>
            <w:tcW w:w="2035" w:type="dxa"/>
          </w:tcPr>
          <w:p w14:paraId="03FFF3EF" w14:textId="77777777" w:rsidR="007B23FE" w:rsidRDefault="007B23FE" w:rsidP="00C40196">
            <w:pPr>
              <w:rPr>
                <w:lang w:eastAsia="en-GB"/>
              </w:rPr>
            </w:pPr>
          </w:p>
        </w:tc>
      </w:tr>
    </w:tbl>
    <w:p w14:paraId="57996968" w14:textId="77777777" w:rsidR="00E60534" w:rsidRDefault="00E60534">
      <w:r>
        <w:br w:type="page"/>
      </w:r>
    </w:p>
    <w:p w14:paraId="1A8C272A" w14:textId="70AEABA2" w:rsidR="004E03EE" w:rsidRPr="004E03EE" w:rsidRDefault="004E03EE" w:rsidP="00325B71">
      <w:pPr>
        <w:pStyle w:val="Heading2"/>
        <w:numPr>
          <w:ilvl w:val="0"/>
          <w:numId w:val="0"/>
        </w:numPr>
        <w:ind w:left="284" w:hanging="284"/>
      </w:pPr>
      <w:bookmarkStart w:id="55" w:name="_Toc121412208"/>
      <w:bookmarkStart w:id="56" w:name="_Toc121412287"/>
      <w:bookmarkStart w:id="57" w:name="_Toc157067028"/>
      <w:bookmarkStart w:id="58" w:name="_Toc121412209"/>
      <w:bookmarkStart w:id="59" w:name="_Toc121412288"/>
      <w:r w:rsidRPr="004E03EE">
        <w:lastRenderedPageBreak/>
        <w:t xml:space="preserve">Appendix 3 – </w:t>
      </w:r>
      <w:r w:rsidR="000220AC">
        <w:t xml:space="preserve">LSE </w:t>
      </w:r>
      <w:r w:rsidRPr="004E03EE">
        <w:t>Multi-Agency Safeguarding Meeting (MASM) Checklist:</w:t>
      </w:r>
      <w:bookmarkEnd w:id="55"/>
      <w:bookmarkEnd w:id="56"/>
      <w:bookmarkEnd w:id="57"/>
    </w:p>
    <w:tbl>
      <w:tblPr>
        <w:tblStyle w:val="TableGrid"/>
        <w:tblW w:w="10201" w:type="dxa"/>
        <w:tblLook w:val="04A0" w:firstRow="1" w:lastRow="0" w:firstColumn="1" w:lastColumn="0" w:noHBand="0" w:noVBand="1"/>
      </w:tblPr>
      <w:tblGrid>
        <w:gridCol w:w="2268"/>
        <w:gridCol w:w="7933"/>
      </w:tblGrid>
      <w:tr w:rsidR="004E03EE" w:rsidRPr="002D555B" w14:paraId="6868B44F" w14:textId="77777777" w:rsidTr="00C40196">
        <w:tc>
          <w:tcPr>
            <w:tcW w:w="2268" w:type="dxa"/>
          </w:tcPr>
          <w:p w14:paraId="2FC65E5F" w14:textId="77777777" w:rsidR="004E03EE" w:rsidRPr="00DE1180" w:rsidRDefault="004E03EE" w:rsidP="00C40196">
            <w:pPr>
              <w:pStyle w:val="NoSpacing"/>
            </w:pPr>
            <w:r w:rsidRPr="00DE1180">
              <w:t>Issues to Consider:</w:t>
            </w:r>
          </w:p>
        </w:tc>
        <w:tc>
          <w:tcPr>
            <w:tcW w:w="7933" w:type="dxa"/>
          </w:tcPr>
          <w:p w14:paraId="681F2C8A" w14:textId="77777777" w:rsidR="004E03EE" w:rsidRPr="00F65D1D" w:rsidRDefault="004E03EE" w:rsidP="004E03EE">
            <w:pPr>
              <w:pStyle w:val="NoSpacing"/>
              <w:numPr>
                <w:ilvl w:val="0"/>
                <w:numId w:val="30"/>
              </w:numPr>
            </w:pPr>
            <w:r w:rsidRPr="00F65D1D">
              <w:t xml:space="preserve">Clarity of purpose of the group. </w:t>
            </w:r>
          </w:p>
          <w:p w14:paraId="0EFC95A9" w14:textId="77777777" w:rsidR="004E03EE" w:rsidRPr="00F65D1D" w:rsidRDefault="004E03EE" w:rsidP="004E03EE">
            <w:pPr>
              <w:pStyle w:val="NoSpacing"/>
              <w:numPr>
                <w:ilvl w:val="0"/>
                <w:numId w:val="30"/>
              </w:numPr>
            </w:pPr>
            <w:r w:rsidRPr="00F65D1D">
              <w:t xml:space="preserve">Current issues for enquiry. </w:t>
            </w:r>
          </w:p>
          <w:p w14:paraId="0B061A9D" w14:textId="77777777" w:rsidR="004E03EE" w:rsidRPr="00F65D1D" w:rsidRDefault="004E03EE" w:rsidP="004E03EE">
            <w:pPr>
              <w:pStyle w:val="NoSpacing"/>
              <w:numPr>
                <w:ilvl w:val="0"/>
                <w:numId w:val="30"/>
              </w:numPr>
            </w:pPr>
            <w:r w:rsidRPr="00F65D1D">
              <w:t xml:space="preserve">Frequency and length of meetings. </w:t>
            </w:r>
          </w:p>
          <w:p w14:paraId="04379E94" w14:textId="77777777" w:rsidR="004E03EE" w:rsidRPr="00F65D1D" w:rsidRDefault="004E03EE" w:rsidP="004E03EE">
            <w:pPr>
              <w:pStyle w:val="NoSpacing"/>
              <w:numPr>
                <w:ilvl w:val="0"/>
                <w:numId w:val="30"/>
              </w:numPr>
            </w:pPr>
            <w:r w:rsidRPr="00F65D1D">
              <w:t xml:space="preserve">Agree if ‘virtual’ meetings may be an option. </w:t>
            </w:r>
          </w:p>
          <w:p w14:paraId="64CB4750" w14:textId="18DDAE92" w:rsidR="004E03EE" w:rsidRPr="00F65D1D" w:rsidRDefault="004E03EE" w:rsidP="004E03EE">
            <w:pPr>
              <w:pStyle w:val="NoSpacing"/>
              <w:numPr>
                <w:ilvl w:val="0"/>
                <w:numId w:val="30"/>
              </w:numPr>
            </w:pPr>
            <w:r w:rsidRPr="00F65D1D">
              <w:t xml:space="preserve">Clarification of roles within the </w:t>
            </w:r>
            <w:r>
              <w:t>LSE MASM</w:t>
            </w:r>
          </w:p>
          <w:p w14:paraId="657BC710" w14:textId="77777777" w:rsidR="004E03EE" w:rsidRPr="00F65D1D" w:rsidRDefault="004E03EE" w:rsidP="004E03EE">
            <w:pPr>
              <w:pStyle w:val="NoSpacing"/>
              <w:numPr>
                <w:ilvl w:val="0"/>
                <w:numId w:val="30"/>
              </w:numPr>
            </w:pPr>
            <w:r w:rsidRPr="00F65D1D">
              <w:t xml:space="preserve">Is legal advice necessary? </w:t>
            </w:r>
          </w:p>
          <w:p w14:paraId="5890AC71" w14:textId="77777777" w:rsidR="004E03EE" w:rsidRPr="00F65D1D" w:rsidRDefault="004E03EE" w:rsidP="004E03EE">
            <w:pPr>
              <w:pStyle w:val="NoSpacing"/>
              <w:numPr>
                <w:ilvl w:val="0"/>
                <w:numId w:val="30"/>
              </w:numPr>
            </w:pPr>
            <w:r w:rsidRPr="00F65D1D">
              <w:t xml:space="preserve">Is a media strategy required? </w:t>
            </w:r>
          </w:p>
          <w:p w14:paraId="115441B0" w14:textId="488520D4" w:rsidR="004E03EE" w:rsidRPr="00DE1180" w:rsidRDefault="004E03EE" w:rsidP="00E60534">
            <w:pPr>
              <w:pStyle w:val="NoSpacing"/>
              <w:numPr>
                <w:ilvl w:val="0"/>
                <w:numId w:val="30"/>
              </w:numPr>
            </w:pPr>
            <w:r w:rsidRPr="00F65D1D">
              <w:t xml:space="preserve">Is a joint communication strategy with family members and the organisation under enquiry required? </w:t>
            </w:r>
          </w:p>
        </w:tc>
      </w:tr>
      <w:tr w:rsidR="004E03EE" w:rsidRPr="002D555B" w14:paraId="0CAB6AA2" w14:textId="77777777" w:rsidTr="00C40196">
        <w:tc>
          <w:tcPr>
            <w:tcW w:w="2268" w:type="dxa"/>
          </w:tcPr>
          <w:p w14:paraId="13DA1D75" w14:textId="77777777" w:rsidR="004E03EE" w:rsidRPr="00DE1180" w:rsidRDefault="004E03EE" w:rsidP="00C40196">
            <w:pPr>
              <w:pStyle w:val="NoSpacing"/>
            </w:pPr>
            <w:r w:rsidRPr="00DE1180">
              <w:t>Membership:</w:t>
            </w:r>
          </w:p>
        </w:tc>
        <w:tc>
          <w:tcPr>
            <w:tcW w:w="7933" w:type="dxa"/>
          </w:tcPr>
          <w:p w14:paraId="31A8D46B" w14:textId="77777777" w:rsidR="004E03EE" w:rsidRPr="00DE1180" w:rsidRDefault="004E03EE" w:rsidP="004E03EE">
            <w:pPr>
              <w:pStyle w:val="ListParagraph"/>
              <w:numPr>
                <w:ilvl w:val="0"/>
                <w:numId w:val="29"/>
              </w:numPr>
              <w:spacing w:after="31" w:line="254" w:lineRule="auto"/>
              <w:ind w:right="3"/>
              <w:jc w:val="both"/>
            </w:pPr>
            <w:r w:rsidRPr="00DE1180">
              <w:t xml:space="preserve">Is there appropriate representation from relevant agencies/organisations – are there others that should be invited to join? </w:t>
            </w:r>
          </w:p>
          <w:p w14:paraId="34E9C837" w14:textId="77777777" w:rsidR="004E03EE" w:rsidRDefault="004E03EE" w:rsidP="004E03EE">
            <w:pPr>
              <w:pStyle w:val="ListParagraph"/>
              <w:numPr>
                <w:ilvl w:val="0"/>
                <w:numId w:val="29"/>
              </w:numPr>
              <w:spacing w:after="177" w:line="254" w:lineRule="auto"/>
              <w:ind w:right="3"/>
              <w:jc w:val="both"/>
            </w:pPr>
            <w:r w:rsidRPr="00DE1180">
              <w:t>Who is responsible for note taking/minutes and disseminating information?</w:t>
            </w:r>
          </w:p>
          <w:p w14:paraId="6EA6B645" w14:textId="2F9E6BF2" w:rsidR="004E03EE" w:rsidRPr="00DE1180" w:rsidRDefault="004E03EE" w:rsidP="00E60534">
            <w:pPr>
              <w:pStyle w:val="ListParagraph"/>
              <w:numPr>
                <w:ilvl w:val="0"/>
                <w:numId w:val="29"/>
              </w:numPr>
              <w:spacing w:after="177" w:line="254" w:lineRule="auto"/>
              <w:ind w:right="3"/>
              <w:jc w:val="both"/>
            </w:pPr>
            <w:r>
              <w:t>Following the initial scoping meeting, Care Provider concerned to be invited to on-going meetings with consideration to which partners should be in attendance or specific and ide</w:t>
            </w:r>
            <w:r w:rsidR="00E60534">
              <w:t>n</w:t>
            </w:r>
            <w:r>
              <w:t>tified workstreams.</w:t>
            </w:r>
          </w:p>
        </w:tc>
      </w:tr>
      <w:tr w:rsidR="004E03EE" w:rsidRPr="002D555B" w14:paraId="02EC3327" w14:textId="77777777" w:rsidTr="00C40196">
        <w:tc>
          <w:tcPr>
            <w:tcW w:w="2268" w:type="dxa"/>
          </w:tcPr>
          <w:p w14:paraId="27267C2E" w14:textId="77777777" w:rsidR="004E03EE" w:rsidRPr="00DE1180" w:rsidRDefault="004E03EE" w:rsidP="00C40196">
            <w:pPr>
              <w:pStyle w:val="NoSpacing"/>
            </w:pPr>
            <w:r w:rsidRPr="00DE1180">
              <w:t xml:space="preserve">The nature of the concern/abuse: </w:t>
            </w:r>
          </w:p>
          <w:p w14:paraId="0A76B473" w14:textId="77777777" w:rsidR="004E03EE" w:rsidRPr="00DE1180" w:rsidRDefault="004E03EE" w:rsidP="00C40196"/>
        </w:tc>
        <w:tc>
          <w:tcPr>
            <w:tcW w:w="7933" w:type="dxa"/>
          </w:tcPr>
          <w:p w14:paraId="06F55B0D" w14:textId="77777777" w:rsidR="004E03EE" w:rsidRPr="00F65D1D" w:rsidRDefault="004E03EE" w:rsidP="004E03EE">
            <w:pPr>
              <w:pStyle w:val="NoSpacing"/>
              <w:numPr>
                <w:ilvl w:val="0"/>
                <w:numId w:val="28"/>
              </w:numPr>
            </w:pPr>
            <w:r w:rsidRPr="00F65D1D">
              <w:t xml:space="preserve">What is the description of the issues involved? </w:t>
            </w:r>
          </w:p>
          <w:p w14:paraId="0DB2A8D7" w14:textId="77777777" w:rsidR="004E03EE" w:rsidRPr="00F65D1D" w:rsidRDefault="004E03EE" w:rsidP="004E03EE">
            <w:pPr>
              <w:pStyle w:val="NoSpacing"/>
              <w:numPr>
                <w:ilvl w:val="0"/>
                <w:numId w:val="28"/>
              </w:numPr>
            </w:pPr>
            <w:r w:rsidRPr="00F65D1D">
              <w:t xml:space="preserve">Have they arisen as a result of the accumulation of indicators and/or signs of abuse? </w:t>
            </w:r>
          </w:p>
          <w:p w14:paraId="1A03EC8A" w14:textId="77777777" w:rsidR="004E03EE" w:rsidRPr="00F65D1D" w:rsidRDefault="004E03EE" w:rsidP="004E03EE">
            <w:pPr>
              <w:pStyle w:val="NoSpacing"/>
              <w:numPr>
                <w:ilvl w:val="0"/>
                <w:numId w:val="28"/>
              </w:numPr>
            </w:pPr>
            <w:r w:rsidRPr="00F65D1D">
              <w:t xml:space="preserve">Have they arisen as a result of a disclosure or allegation? </w:t>
            </w:r>
          </w:p>
          <w:p w14:paraId="239638F6" w14:textId="77777777" w:rsidR="004E03EE" w:rsidRPr="00F65D1D" w:rsidRDefault="004E03EE" w:rsidP="004E03EE">
            <w:pPr>
              <w:pStyle w:val="NoSpacing"/>
              <w:numPr>
                <w:ilvl w:val="0"/>
                <w:numId w:val="28"/>
              </w:numPr>
            </w:pPr>
            <w:r w:rsidRPr="00F65D1D">
              <w:t xml:space="preserve">Are there witnesses? </w:t>
            </w:r>
          </w:p>
          <w:p w14:paraId="5513EC24" w14:textId="77777777" w:rsidR="004E03EE" w:rsidRPr="00F65D1D" w:rsidRDefault="004E03EE" w:rsidP="004E03EE">
            <w:pPr>
              <w:pStyle w:val="NoSpacing"/>
              <w:numPr>
                <w:ilvl w:val="0"/>
                <w:numId w:val="28"/>
              </w:numPr>
            </w:pPr>
            <w:r w:rsidRPr="00F65D1D">
              <w:t xml:space="preserve">Have clear unambiguous statements been made? </w:t>
            </w:r>
          </w:p>
          <w:p w14:paraId="7856F272" w14:textId="77777777" w:rsidR="004E03EE" w:rsidRPr="00F65D1D" w:rsidRDefault="004E03EE" w:rsidP="004E03EE">
            <w:pPr>
              <w:pStyle w:val="NoSpacing"/>
              <w:numPr>
                <w:ilvl w:val="0"/>
                <w:numId w:val="28"/>
              </w:numPr>
            </w:pPr>
            <w:r w:rsidRPr="00F65D1D">
              <w:t xml:space="preserve">Is the organisation or abuser aware of the concerns? </w:t>
            </w:r>
          </w:p>
          <w:p w14:paraId="289F50D1" w14:textId="7E1D36AA" w:rsidR="004E03EE" w:rsidRPr="002D555B" w:rsidRDefault="004E03EE" w:rsidP="00C40196">
            <w:pPr>
              <w:pStyle w:val="NoSpacing"/>
              <w:numPr>
                <w:ilvl w:val="0"/>
                <w:numId w:val="28"/>
              </w:numPr>
            </w:pPr>
            <w:r w:rsidRPr="00F65D1D">
              <w:t xml:space="preserve">Do other authorities/commissioners of care need to be informed of the concern? </w:t>
            </w:r>
          </w:p>
        </w:tc>
      </w:tr>
      <w:tr w:rsidR="004E03EE" w:rsidRPr="002D555B" w14:paraId="4ED56FB6" w14:textId="77777777" w:rsidTr="00C40196">
        <w:tc>
          <w:tcPr>
            <w:tcW w:w="2268" w:type="dxa"/>
          </w:tcPr>
          <w:p w14:paraId="3A730EC0" w14:textId="77777777" w:rsidR="004E03EE" w:rsidRPr="00DE1180" w:rsidRDefault="004E03EE" w:rsidP="00C40196">
            <w:pPr>
              <w:pStyle w:val="NoSpacing"/>
            </w:pPr>
            <w:r w:rsidRPr="00DE1180">
              <w:t xml:space="preserve">The Adult at Risk: </w:t>
            </w:r>
          </w:p>
          <w:p w14:paraId="6B099C57" w14:textId="77777777" w:rsidR="004E03EE" w:rsidRPr="00DE1180" w:rsidRDefault="004E03EE" w:rsidP="00C40196"/>
        </w:tc>
        <w:tc>
          <w:tcPr>
            <w:tcW w:w="7933" w:type="dxa"/>
          </w:tcPr>
          <w:p w14:paraId="6ABF961C" w14:textId="77777777" w:rsidR="004E03EE" w:rsidRPr="00DE1180" w:rsidRDefault="004E03EE" w:rsidP="004E03EE">
            <w:pPr>
              <w:pStyle w:val="ListParagraph"/>
              <w:numPr>
                <w:ilvl w:val="0"/>
                <w:numId w:val="27"/>
              </w:numPr>
              <w:spacing w:after="10" w:line="254" w:lineRule="auto"/>
              <w:ind w:right="3"/>
              <w:jc w:val="both"/>
            </w:pPr>
            <w:r w:rsidRPr="00DE1180">
              <w:t xml:space="preserve">Have the adult(s) at risk indicated what they would like to happen? </w:t>
            </w:r>
          </w:p>
          <w:p w14:paraId="52EEAE93" w14:textId="290276C7" w:rsidR="004E03EE" w:rsidRPr="00DE1180" w:rsidRDefault="004E03EE" w:rsidP="004E03EE">
            <w:pPr>
              <w:pStyle w:val="ListParagraph"/>
              <w:numPr>
                <w:ilvl w:val="0"/>
                <w:numId w:val="27"/>
              </w:numPr>
              <w:spacing w:after="31" w:line="254" w:lineRule="auto"/>
              <w:ind w:right="3"/>
              <w:jc w:val="both"/>
            </w:pPr>
            <w:r w:rsidRPr="00DE1180">
              <w:t xml:space="preserve">Are there concerns that their decision reflects an unacceptable degree of exploitation, intimidation, or coercion? </w:t>
            </w:r>
          </w:p>
          <w:p w14:paraId="29AC27A7" w14:textId="77777777" w:rsidR="004E03EE" w:rsidRPr="00DE1180" w:rsidRDefault="004E03EE" w:rsidP="004E03EE">
            <w:pPr>
              <w:pStyle w:val="ListParagraph"/>
              <w:numPr>
                <w:ilvl w:val="0"/>
                <w:numId w:val="27"/>
              </w:numPr>
              <w:spacing w:after="10" w:line="254" w:lineRule="auto"/>
              <w:ind w:right="3"/>
              <w:jc w:val="both"/>
            </w:pPr>
            <w:r w:rsidRPr="00DE1180">
              <w:t xml:space="preserve">Have other people been, or likely to be, put at risk? </w:t>
            </w:r>
          </w:p>
          <w:p w14:paraId="4C79FADF" w14:textId="77777777" w:rsidR="004E03EE" w:rsidRPr="00DE1180" w:rsidRDefault="004E03EE" w:rsidP="004E03EE">
            <w:pPr>
              <w:pStyle w:val="ListParagraph"/>
              <w:numPr>
                <w:ilvl w:val="0"/>
                <w:numId w:val="27"/>
              </w:numPr>
              <w:spacing w:after="34" w:line="254" w:lineRule="auto"/>
              <w:ind w:right="3"/>
              <w:jc w:val="both"/>
            </w:pPr>
            <w:r w:rsidRPr="00DE1180">
              <w:t xml:space="preserve">Are assessments of capacity required for the adult(s) at risk? If so, what arrangements have been put in place to ensure these are completed? </w:t>
            </w:r>
          </w:p>
          <w:p w14:paraId="7E9A289B" w14:textId="77FB5B43" w:rsidR="004E03EE" w:rsidRPr="00DE1180" w:rsidRDefault="004E03EE" w:rsidP="004E03EE">
            <w:pPr>
              <w:pStyle w:val="ListParagraph"/>
              <w:numPr>
                <w:ilvl w:val="0"/>
                <w:numId w:val="27"/>
              </w:numPr>
              <w:spacing w:after="10" w:line="254" w:lineRule="auto"/>
              <w:ind w:right="3"/>
              <w:jc w:val="both"/>
            </w:pPr>
            <w:r w:rsidRPr="00DE1180">
              <w:t>Are the adult(s) at risk aware of their rights? Adults at risk are entitled to the same protection as any citizen in relation to the criminal law and th</w:t>
            </w:r>
            <w:r w:rsidR="000220AC">
              <w:t>e</w:t>
            </w:r>
            <w:r w:rsidRPr="00DE1180">
              <w:t xml:space="preserve">y have the same ability to use and enforce the civil rights they have. </w:t>
            </w:r>
          </w:p>
          <w:p w14:paraId="7B14BC37" w14:textId="77777777" w:rsidR="004E03EE" w:rsidRPr="00DE1180" w:rsidRDefault="004E03EE" w:rsidP="004E03EE">
            <w:pPr>
              <w:pStyle w:val="ListParagraph"/>
              <w:numPr>
                <w:ilvl w:val="0"/>
                <w:numId w:val="27"/>
              </w:numPr>
              <w:spacing w:after="10" w:line="254" w:lineRule="auto"/>
              <w:ind w:right="3"/>
              <w:jc w:val="both"/>
            </w:pPr>
            <w:r w:rsidRPr="00DE1180">
              <w:t xml:space="preserve">Are the adult(s) at risk aware of the concern(s) that are held about them? If not, are there plans to share this information? </w:t>
            </w:r>
          </w:p>
          <w:p w14:paraId="65857833" w14:textId="1850D454" w:rsidR="004E03EE" w:rsidRPr="00DE1180" w:rsidRDefault="004E03EE" w:rsidP="004E03EE">
            <w:pPr>
              <w:pStyle w:val="ListParagraph"/>
              <w:numPr>
                <w:ilvl w:val="0"/>
                <w:numId w:val="27"/>
              </w:numPr>
              <w:spacing w:after="10" w:line="254" w:lineRule="auto"/>
              <w:ind w:right="3"/>
              <w:jc w:val="both"/>
            </w:pPr>
            <w:r w:rsidRPr="00DE1180">
              <w:t>What part can and should the adult(s) at risk involved play in the enquiry? And what support will they need (</w:t>
            </w:r>
            <w:r w:rsidR="005F1752" w:rsidRPr="00DE1180">
              <w:t>i.e.,</w:t>
            </w:r>
            <w:r w:rsidRPr="00DE1180">
              <w:t xml:space="preserve"> advocacy) to do so? </w:t>
            </w:r>
          </w:p>
          <w:p w14:paraId="4C611DDC" w14:textId="19E6FEBB" w:rsidR="004E03EE" w:rsidRPr="00DE1180" w:rsidRDefault="004E03EE" w:rsidP="004E03EE">
            <w:pPr>
              <w:pStyle w:val="ListParagraph"/>
              <w:numPr>
                <w:ilvl w:val="0"/>
                <w:numId w:val="27"/>
              </w:numPr>
              <w:spacing w:after="10" w:line="254" w:lineRule="auto"/>
              <w:ind w:right="3"/>
              <w:jc w:val="both"/>
            </w:pPr>
            <w:r w:rsidRPr="00DE1180">
              <w:t xml:space="preserve">Are there any cultural and/or religious factors that may need to be considered? </w:t>
            </w:r>
          </w:p>
          <w:p w14:paraId="1535DFBF" w14:textId="005D1461" w:rsidR="004E03EE" w:rsidRPr="002D555B" w:rsidRDefault="004E03EE" w:rsidP="00C40196">
            <w:pPr>
              <w:pStyle w:val="ListParagraph"/>
              <w:numPr>
                <w:ilvl w:val="0"/>
                <w:numId w:val="27"/>
              </w:numPr>
              <w:spacing w:after="10" w:line="254" w:lineRule="auto"/>
              <w:ind w:right="3"/>
              <w:jc w:val="both"/>
            </w:pPr>
            <w:r w:rsidRPr="00DE1180">
              <w:t xml:space="preserve">Are there any specific language/communication issues that may need to be considered? </w:t>
            </w:r>
          </w:p>
        </w:tc>
      </w:tr>
      <w:tr w:rsidR="004E03EE" w:rsidRPr="002D555B" w14:paraId="7D4E7558" w14:textId="77777777" w:rsidTr="00C40196">
        <w:tc>
          <w:tcPr>
            <w:tcW w:w="2268" w:type="dxa"/>
          </w:tcPr>
          <w:p w14:paraId="6D2B8456" w14:textId="6F7CEC51" w:rsidR="004E03EE" w:rsidRPr="00DE1180" w:rsidRDefault="004E03EE" w:rsidP="00C40196">
            <w:pPr>
              <w:pStyle w:val="NoSpacing"/>
            </w:pPr>
            <w:r w:rsidRPr="00DE1180">
              <w:t xml:space="preserve">The </w:t>
            </w:r>
            <w:r w:rsidR="009A731B">
              <w:t xml:space="preserve">Person(s) </w:t>
            </w:r>
            <w:r w:rsidRPr="00DE1180">
              <w:t xml:space="preserve">Alleged </w:t>
            </w:r>
            <w:r w:rsidR="009A731B">
              <w:t>to have Caused Harm</w:t>
            </w:r>
            <w:r w:rsidRPr="00DE1180">
              <w:t xml:space="preserve">: </w:t>
            </w:r>
          </w:p>
          <w:p w14:paraId="3980D4AC" w14:textId="77777777" w:rsidR="004E03EE" w:rsidRPr="00DE1180" w:rsidRDefault="004E03EE" w:rsidP="00C40196"/>
        </w:tc>
        <w:tc>
          <w:tcPr>
            <w:tcW w:w="7933" w:type="dxa"/>
          </w:tcPr>
          <w:p w14:paraId="1E6BA706" w14:textId="2682DF19" w:rsidR="004E03EE" w:rsidRPr="00DE1180" w:rsidRDefault="004E03EE" w:rsidP="004E03EE">
            <w:pPr>
              <w:numPr>
                <w:ilvl w:val="0"/>
                <w:numId w:val="26"/>
              </w:numPr>
              <w:spacing w:after="10" w:line="254" w:lineRule="auto"/>
              <w:ind w:right="3" w:hanging="360"/>
              <w:jc w:val="both"/>
            </w:pPr>
            <w:r w:rsidRPr="00DE1180">
              <w:t xml:space="preserve">What is known about the </w:t>
            </w:r>
            <w:r w:rsidR="009A731B">
              <w:t xml:space="preserve">Person(s) </w:t>
            </w:r>
            <w:r w:rsidR="009A731B" w:rsidRPr="00DE1180">
              <w:t xml:space="preserve">Alleged </w:t>
            </w:r>
            <w:r w:rsidR="009A731B">
              <w:t>to have Caused Harm</w:t>
            </w:r>
            <w:r w:rsidRPr="00DE1180">
              <w:t xml:space="preserve">? </w:t>
            </w:r>
          </w:p>
          <w:p w14:paraId="22F3512C" w14:textId="7E981B73" w:rsidR="004E03EE" w:rsidRPr="00DE1180" w:rsidRDefault="004E03EE" w:rsidP="004E03EE">
            <w:pPr>
              <w:numPr>
                <w:ilvl w:val="0"/>
                <w:numId w:val="26"/>
              </w:numPr>
              <w:spacing w:after="31" w:line="254" w:lineRule="auto"/>
              <w:ind w:right="3" w:hanging="360"/>
              <w:jc w:val="both"/>
            </w:pPr>
            <w:r w:rsidRPr="00DE1180">
              <w:t xml:space="preserve">Are there any cultural and/or religious factors that may need to be considered? </w:t>
            </w:r>
          </w:p>
          <w:p w14:paraId="6B7DBD1A" w14:textId="7802E8CF" w:rsidR="004E03EE" w:rsidRPr="00DE1180" w:rsidRDefault="004E03EE" w:rsidP="004E03EE">
            <w:pPr>
              <w:numPr>
                <w:ilvl w:val="0"/>
                <w:numId w:val="26"/>
              </w:numPr>
              <w:spacing w:after="10" w:line="254" w:lineRule="auto"/>
              <w:ind w:right="3" w:hanging="360"/>
              <w:jc w:val="both"/>
            </w:pPr>
            <w:r w:rsidRPr="00DE1180">
              <w:t xml:space="preserve">What is the </w:t>
            </w:r>
            <w:r w:rsidR="009A731B">
              <w:t xml:space="preserve">Person(s) Alleged to have Caused Harm </w:t>
            </w:r>
            <w:r w:rsidRPr="00DE1180">
              <w:t xml:space="preserve">’s relationship with the adult at risk? </w:t>
            </w:r>
          </w:p>
          <w:p w14:paraId="51CC9085" w14:textId="27D45EFB" w:rsidR="004E03EE" w:rsidRPr="00DE1180" w:rsidRDefault="004E03EE" w:rsidP="004E03EE">
            <w:pPr>
              <w:numPr>
                <w:ilvl w:val="0"/>
                <w:numId w:val="26"/>
              </w:numPr>
              <w:spacing w:after="10" w:line="254" w:lineRule="auto"/>
              <w:ind w:right="3" w:hanging="360"/>
              <w:jc w:val="both"/>
            </w:pPr>
            <w:r w:rsidRPr="00DE1180">
              <w:lastRenderedPageBreak/>
              <w:t xml:space="preserve">Is the </w:t>
            </w:r>
            <w:r w:rsidR="009A731B">
              <w:t xml:space="preserve">Person(s) Alleged to have Caused </w:t>
            </w:r>
            <w:r w:rsidR="00D86BD0">
              <w:t xml:space="preserve">Harm </w:t>
            </w:r>
            <w:r w:rsidR="00D86BD0" w:rsidRPr="00DE1180">
              <w:t>employed</w:t>
            </w:r>
            <w:r w:rsidRPr="00DE1180">
              <w:t xml:space="preserve"> by this or any other organisation responsible for the care and support of vulnerable people? </w:t>
            </w:r>
          </w:p>
          <w:p w14:paraId="2FD124BF" w14:textId="18D1882B" w:rsidR="004E03EE" w:rsidRPr="00DE1180" w:rsidRDefault="004E03EE" w:rsidP="004E03EE">
            <w:pPr>
              <w:numPr>
                <w:ilvl w:val="0"/>
                <w:numId w:val="26"/>
              </w:numPr>
              <w:spacing w:after="10" w:line="254" w:lineRule="auto"/>
              <w:ind w:right="3" w:hanging="360"/>
              <w:jc w:val="both"/>
            </w:pPr>
            <w:r w:rsidRPr="00DE1180">
              <w:t xml:space="preserve">Is the </w:t>
            </w:r>
            <w:r w:rsidR="009A731B">
              <w:t xml:space="preserve">Person(s) Alleged to have Caused </w:t>
            </w:r>
            <w:r w:rsidR="00D86BD0">
              <w:t xml:space="preserve">Harm </w:t>
            </w:r>
            <w:r w:rsidR="00D86BD0" w:rsidRPr="00DE1180">
              <w:t>also</w:t>
            </w:r>
            <w:r w:rsidRPr="00DE1180">
              <w:t xml:space="preserve"> an adult at risk? </w:t>
            </w:r>
          </w:p>
          <w:p w14:paraId="132E9673" w14:textId="2E9DB773" w:rsidR="004E03EE" w:rsidRPr="002D555B" w:rsidRDefault="004E03EE" w:rsidP="00C40196">
            <w:pPr>
              <w:numPr>
                <w:ilvl w:val="0"/>
                <w:numId w:val="26"/>
              </w:numPr>
              <w:spacing w:after="205" w:line="254" w:lineRule="auto"/>
              <w:ind w:right="3" w:hanging="360"/>
              <w:jc w:val="both"/>
            </w:pPr>
            <w:r w:rsidRPr="00DE1180">
              <w:t>How will any inter-relationship between Safeguarding, disciplinary and criminal processes be managed?</w:t>
            </w:r>
          </w:p>
        </w:tc>
      </w:tr>
      <w:tr w:rsidR="004E03EE" w:rsidRPr="002D555B" w14:paraId="069516CC" w14:textId="77777777" w:rsidTr="00C40196">
        <w:tc>
          <w:tcPr>
            <w:tcW w:w="2268" w:type="dxa"/>
          </w:tcPr>
          <w:p w14:paraId="45F89A51" w14:textId="77777777" w:rsidR="004E03EE" w:rsidRPr="00DE1180" w:rsidRDefault="004E03EE" w:rsidP="00C40196">
            <w:pPr>
              <w:pStyle w:val="NoSpacing"/>
            </w:pPr>
            <w:r w:rsidRPr="00DE1180">
              <w:lastRenderedPageBreak/>
              <w:t>Risk:</w:t>
            </w:r>
          </w:p>
        </w:tc>
        <w:tc>
          <w:tcPr>
            <w:tcW w:w="7933" w:type="dxa"/>
          </w:tcPr>
          <w:p w14:paraId="6D44FE3F" w14:textId="77777777" w:rsidR="004E03EE" w:rsidRPr="00DE1180" w:rsidRDefault="004E03EE" w:rsidP="004E03EE">
            <w:pPr>
              <w:numPr>
                <w:ilvl w:val="0"/>
                <w:numId w:val="26"/>
              </w:numPr>
              <w:spacing w:after="10" w:line="254" w:lineRule="auto"/>
              <w:ind w:right="3" w:hanging="360"/>
              <w:jc w:val="both"/>
            </w:pPr>
            <w:r w:rsidRPr="00DE1180">
              <w:t xml:space="preserve">Are the adult(s) at risk at continuing risk? </w:t>
            </w:r>
          </w:p>
          <w:p w14:paraId="0ADABB83" w14:textId="77777777" w:rsidR="004E03EE" w:rsidRPr="00DE1180" w:rsidRDefault="004E03EE" w:rsidP="004E03EE">
            <w:pPr>
              <w:numPr>
                <w:ilvl w:val="0"/>
                <w:numId w:val="26"/>
              </w:numPr>
              <w:spacing w:after="10" w:line="254" w:lineRule="auto"/>
              <w:ind w:right="3" w:hanging="360"/>
              <w:jc w:val="both"/>
            </w:pPr>
            <w:r w:rsidRPr="00DE1180">
              <w:t xml:space="preserve">Have reviews/risk assessments been undertaken of all those at risk? </w:t>
            </w:r>
          </w:p>
          <w:p w14:paraId="0AAF18C9" w14:textId="77777777" w:rsidR="00236E0D" w:rsidRDefault="004E03EE" w:rsidP="00236E0D">
            <w:pPr>
              <w:numPr>
                <w:ilvl w:val="0"/>
                <w:numId w:val="26"/>
              </w:numPr>
              <w:spacing w:after="10" w:line="254" w:lineRule="auto"/>
              <w:ind w:right="3" w:hanging="360"/>
              <w:jc w:val="both"/>
            </w:pPr>
            <w:r w:rsidRPr="00DE1180">
              <w:t xml:space="preserve">What is the extent of the risk? </w:t>
            </w:r>
          </w:p>
          <w:p w14:paraId="4C237039" w14:textId="41C055F9" w:rsidR="004E03EE" w:rsidRPr="00DE1180" w:rsidRDefault="004E03EE" w:rsidP="00236E0D">
            <w:pPr>
              <w:numPr>
                <w:ilvl w:val="0"/>
                <w:numId w:val="26"/>
              </w:numPr>
              <w:spacing w:after="10" w:line="254" w:lineRule="auto"/>
              <w:ind w:right="3" w:hanging="360"/>
              <w:jc w:val="both"/>
            </w:pPr>
            <w:r w:rsidRPr="00DE1180">
              <w:t xml:space="preserve">Are there any secondary/potential risks that need to be considered? </w:t>
            </w:r>
          </w:p>
        </w:tc>
      </w:tr>
      <w:tr w:rsidR="004E03EE" w14:paraId="74BA5AA4" w14:textId="77777777" w:rsidTr="00C40196">
        <w:tc>
          <w:tcPr>
            <w:tcW w:w="2268" w:type="dxa"/>
          </w:tcPr>
          <w:p w14:paraId="20984CA7" w14:textId="77777777" w:rsidR="004E03EE" w:rsidRPr="00DE1180" w:rsidRDefault="004E03EE" w:rsidP="00C40196">
            <w:pPr>
              <w:pStyle w:val="NoSpacing"/>
            </w:pPr>
            <w:r w:rsidRPr="00DE1180">
              <w:t>Next Steps:</w:t>
            </w:r>
          </w:p>
        </w:tc>
        <w:tc>
          <w:tcPr>
            <w:tcW w:w="7933" w:type="dxa"/>
          </w:tcPr>
          <w:p w14:paraId="0DC17385" w14:textId="77777777" w:rsidR="004E03EE" w:rsidRPr="00DE1180" w:rsidRDefault="004E03EE" w:rsidP="004E03EE">
            <w:pPr>
              <w:numPr>
                <w:ilvl w:val="0"/>
                <w:numId w:val="26"/>
              </w:numPr>
              <w:spacing w:after="10" w:line="254" w:lineRule="auto"/>
              <w:ind w:right="3" w:hanging="360"/>
              <w:jc w:val="both"/>
            </w:pPr>
            <w:r w:rsidRPr="00DE1180">
              <w:t xml:space="preserve">Who needs to be involved at the next step? </w:t>
            </w:r>
          </w:p>
          <w:p w14:paraId="5179686B" w14:textId="77777777" w:rsidR="004E03EE" w:rsidRPr="00DE1180" w:rsidRDefault="004E03EE" w:rsidP="004E03EE">
            <w:pPr>
              <w:numPr>
                <w:ilvl w:val="0"/>
                <w:numId w:val="26"/>
              </w:numPr>
              <w:spacing w:after="10" w:line="254" w:lineRule="auto"/>
              <w:ind w:right="3" w:hanging="360"/>
              <w:jc w:val="both"/>
            </w:pPr>
            <w:r w:rsidRPr="00DE1180">
              <w:t xml:space="preserve">Is more information required before going ahead? If so, what? </w:t>
            </w:r>
          </w:p>
          <w:p w14:paraId="39A7A611" w14:textId="77777777" w:rsidR="004E03EE" w:rsidRPr="00DE1180" w:rsidRDefault="004E03EE" w:rsidP="004E03EE">
            <w:pPr>
              <w:numPr>
                <w:ilvl w:val="0"/>
                <w:numId w:val="26"/>
              </w:numPr>
              <w:spacing w:after="10" w:line="254" w:lineRule="auto"/>
              <w:ind w:right="3" w:hanging="360"/>
              <w:jc w:val="both"/>
            </w:pPr>
            <w:r w:rsidRPr="00DE1180">
              <w:t xml:space="preserve">What would be the best way of obtaining this information? </w:t>
            </w:r>
          </w:p>
          <w:p w14:paraId="6F9AA1CE" w14:textId="77777777" w:rsidR="004E03EE" w:rsidRPr="00DE1180" w:rsidRDefault="004E03EE" w:rsidP="004E03EE">
            <w:pPr>
              <w:numPr>
                <w:ilvl w:val="0"/>
                <w:numId w:val="26"/>
              </w:numPr>
              <w:spacing w:after="10" w:line="254" w:lineRule="auto"/>
              <w:ind w:right="3" w:hanging="360"/>
              <w:jc w:val="both"/>
            </w:pPr>
            <w:r w:rsidRPr="00DE1180">
              <w:t xml:space="preserve">Programming dates for future meetings </w:t>
            </w:r>
          </w:p>
          <w:p w14:paraId="1A3E4E8E" w14:textId="77777777" w:rsidR="004E03EE" w:rsidRPr="00DE1180" w:rsidRDefault="004E03EE" w:rsidP="004E03EE">
            <w:pPr>
              <w:numPr>
                <w:ilvl w:val="0"/>
                <w:numId w:val="26"/>
              </w:numPr>
              <w:spacing w:after="193" w:line="254" w:lineRule="auto"/>
              <w:ind w:right="3" w:hanging="360"/>
              <w:jc w:val="both"/>
            </w:pPr>
            <w:r w:rsidRPr="00DE1180">
              <w:t>Agree specific actions required and individual responsibilities required, including timescales for completion.</w:t>
            </w:r>
          </w:p>
          <w:p w14:paraId="635854A8" w14:textId="77777777" w:rsidR="004E03EE" w:rsidRPr="00DE1180" w:rsidRDefault="004E03EE" w:rsidP="00C40196">
            <w:pPr>
              <w:spacing w:after="194"/>
              <w:ind w:left="115" w:right="253"/>
            </w:pPr>
            <w:r w:rsidRPr="00DE1180">
              <w:t xml:space="preserve">Consider the need to meet with relatives and carers of adult(s) at risk involved, to keep them fully informed as to the steps being taken by the relevant agencies and the support available to them. </w:t>
            </w:r>
          </w:p>
          <w:p w14:paraId="0228DD31" w14:textId="41C71F61" w:rsidR="004E03EE" w:rsidRPr="00DE1180" w:rsidRDefault="004E03EE" w:rsidP="00E60534">
            <w:pPr>
              <w:ind w:left="115" w:right="3"/>
            </w:pPr>
            <w:r w:rsidRPr="00DE1180">
              <w:t xml:space="preserve">Consider the impact of stress on front line workers from any agency and to ensure that supervision and support is offered appropriately. </w:t>
            </w:r>
          </w:p>
        </w:tc>
      </w:tr>
    </w:tbl>
    <w:p w14:paraId="7F3335FF" w14:textId="77777777" w:rsidR="00DB5161" w:rsidRDefault="000B37B2" w:rsidP="00325B71">
      <w:pPr>
        <w:pStyle w:val="Heading2"/>
        <w:numPr>
          <w:ilvl w:val="0"/>
          <w:numId w:val="0"/>
        </w:numPr>
        <w:ind w:left="284" w:hanging="284"/>
      </w:pPr>
      <w:bookmarkStart w:id="60" w:name="_Toc157067029"/>
      <w:r w:rsidRPr="004E03EE">
        <w:t xml:space="preserve">Appendix 4: Letter to </w:t>
      </w:r>
      <w:bookmarkEnd w:id="58"/>
      <w:bookmarkEnd w:id="59"/>
      <w:r w:rsidRPr="004E03EE">
        <w:t>Relative</w:t>
      </w:r>
      <w:bookmarkEnd w:id="60"/>
    </w:p>
    <w:p w14:paraId="47F3705C" w14:textId="03917B48" w:rsidR="000B37B2" w:rsidRPr="00DB5161" w:rsidRDefault="000B37B2" w:rsidP="00E60534">
      <w:r w:rsidRPr="00DB5161">
        <w:t xml:space="preserve">This letter should be shared with the provider as a template letter for them to send to relatives informing them of our concerns. </w:t>
      </w:r>
      <w:r w:rsidRPr="00DB5161">
        <w:rPr>
          <w:bCs/>
          <w:i/>
          <w:iCs/>
        </w:rPr>
        <w:t>Please delete as appropriate and insert our key concerns &amp; suspension date prior to sending to the provider</w:t>
      </w:r>
      <w:r w:rsidRPr="00DB5161">
        <w:rPr>
          <w:bCs/>
        </w:rPr>
        <w:t>.</w:t>
      </w:r>
      <w:r w:rsidRPr="00DB5161">
        <w:t xml:space="preserve"> The letter should be sent to relatives/guardians on the providers letter headed paper and signed off by them. </w:t>
      </w:r>
    </w:p>
    <w:p w14:paraId="30EB55F3" w14:textId="77777777" w:rsidR="000B37B2" w:rsidRPr="00DB5161" w:rsidRDefault="000B37B2" w:rsidP="000B37B2">
      <w:pPr>
        <w:rPr>
          <w:sz w:val="20"/>
          <w:szCs w:val="20"/>
        </w:rPr>
      </w:pPr>
      <w:r w:rsidRPr="00DB5161">
        <w:rPr>
          <w:sz w:val="20"/>
          <w:szCs w:val="20"/>
        </w:rPr>
        <w:t>(Title) (First Name) (Last Name)</w:t>
      </w:r>
    </w:p>
    <w:p w14:paraId="4F4D2A70" w14:textId="77777777" w:rsidR="000B37B2" w:rsidRPr="00DB5161" w:rsidRDefault="000B37B2" w:rsidP="000B37B2">
      <w:pPr>
        <w:rPr>
          <w:sz w:val="20"/>
          <w:szCs w:val="20"/>
        </w:rPr>
      </w:pPr>
      <w:r w:rsidRPr="00DB5161">
        <w:rPr>
          <w:sz w:val="20"/>
          <w:szCs w:val="20"/>
        </w:rPr>
        <w:t>Address Line 1</w:t>
      </w:r>
    </w:p>
    <w:p w14:paraId="5E61D863" w14:textId="77777777" w:rsidR="000B37B2" w:rsidRPr="00DB5161" w:rsidRDefault="000B37B2" w:rsidP="000B37B2">
      <w:pPr>
        <w:rPr>
          <w:sz w:val="20"/>
          <w:szCs w:val="20"/>
        </w:rPr>
      </w:pPr>
      <w:r w:rsidRPr="00DB5161">
        <w:rPr>
          <w:sz w:val="20"/>
          <w:szCs w:val="20"/>
        </w:rPr>
        <w:t>Address Line 2</w:t>
      </w:r>
    </w:p>
    <w:p w14:paraId="6AB735AA" w14:textId="77777777" w:rsidR="000B37B2" w:rsidRPr="00DB5161" w:rsidRDefault="000B37B2" w:rsidP="000B37B2">
      <w:pPr>
        <w:rPr>
          <w:sz w:val="20"/>
          <w:szCs w:val="20"/>
        </w:rPr>
      </w:pPr>
      <w:r w:rsidRPr="00DB5161">
        <w:rPr>
          <w:sz w:val="20"/>
          <w:szCs w:val="20"/>
        </w:rPr>
        <w:t>Address Line 3</w:t>
      </w:r>
    </w:p>
    <w:p w14:paraId="1192A396" w14:textId="77777777" w:rsidR="000B37B2" w:rsidRPr="00DB5161" w:rsidRDefault="000B37B2" w:rsidP="000B37B2">
      <w:pPr>
        <w:rPr>
          <w:sz w:val="20"/>
          <w:szCs w:val="20"/>
        </w:rPr>
      </w:pPr>
      <w:r w:rsidRPr="00DB5161">
        <w:rPr>
          <w:sz w:val="20"/>
          <w:szCs w:val="20"/>
        </w:rPr>
        <w:t>Postcode</w:t>
      </w:r>
    </w:p>
    <w:p w14:paraId="419A6964" w14:textId="77777777" w:rsidR="000B37B2" w:rsidRPr="00DB5161" w:rsidRDefault="000B37B2" w:rsidP="000B37B2">
      <w:pPr>
        <w:rPr>
          <w:sz w:val="20"/>
          <w:szCs w:val="20"/>
        </w:rPr>
      </w:pPr>
    </w:p>
    <w:p w14:paraId="6BDB5324" w14:textId="1EE9A91C" w:rsidR="000B37B2" w:rsidRPr="00DB5161" w:rsidRDefault="000B37B2" w:rsidP="000B37B2">
      <w:pPr>
        <w:rPr>
          <w:sz w:val="20"/>
          <w:szCs w:val="20"/>
        </w:rPr>
      </w:pPr>
      <w:r w:rsidRPr="00DB5161">
        <w:rPr>
          <w:sz w:val="20"/>
          <w:szCs w:val="20"/>
        </w:rPr>
        <w:t>Date:</w:t>
      </w:r>
    </w:p>
    <w:p w14:paraId="30122803" w14:textId="05094BDA" w:rsidR="000B37B2" w:rsidRPr="00DB5161" w:rsidRDefault="000B37B2" w:rsidP="000B37B2">
      <w:pPr>
        <w:rPr>
          <w:sz w:val="20"/>
          <w:szCs w:val="20"/>
        </w:rPr>
      </w:pPr>
      <w:r w:rsidRPr="00DB5161">
        <w:rPr>
          <w:sz w:val="20"/>
          <w:szCs w:val="20"/>
        </w:rPr>
        <w:t>Dear (Title) (Last Name),</w:t>
      </w:r>
    </w:p>
    <w:p w14:paraId="66D71777" w14:textId="50AF91E8" w:rsidR="000B37B2" w:rsidRPr="00DB5161" w:rsidRDefault="000B37B2" w:rsidP="000B37B2">
      <w:pPr>
        <w:rPr>
          <w:b/>
          <w:bCs/>
          <w:sz w:val="20"/>
          <w:szCs w:val="20"/>
        </w:rPr>
      </w:pPr>
      <w:r w:rsidRPr="00DB5161">
        <w:rPr>
          <w:b/>
          <w:bCs/>
          <w:sz w:val="20"/>
          <w:szCs w:val="20"/>
        </w:rPr>
        <w:t>RE: (Name of Care Provider)</w:t>
      </w:r>
    </w:p>
    <w:p w14:paraId="3B9751D6" w14:textId="7A7D5575" w:rsidR="000B37B2" w:rsidRPr="00DB5161" w:rsidRDefault="000B37B2" w:rsidP="000B37B2">
      <w:pPr>
        <w:rPr>
          <w:rFonts w:cstheme="minorHAnsi"/>
          <w:sz w:val="20"/>
          <w:szCs w:val="20"/>
        </w:rPr>
      </w:pPr>
      <w:r w:rsidRPr="00DB5161">
        <w:rPr>
          <w:rFonts w:cstheme="minorHAnsi"/>
          <w:sz w:val="20"/>
          <w:szCs w:val="20"/>
        </w:rPr>
        <w:t xml:space="preserve">I am writing to inform you that Calderdale Local Authority and Calderdale ICB </w:t>
      </w:r>
      <w:r w:rsidRPr="00DB5161">
        <w:rPr>
          <w:rFonts w:cstheme="minorHAnsi"/>
          <w:b/>
          <w:bCs/>
          <w:i/>
          <w:iCs/>
          <w:sz w:val="20"/>
          <w:szCs w:val="20"/>
        </w:rPr>
        <w:t>(delete as appropriate)</w:t>
      </w:r>
      <w:r w:rsidRPr="00DB5161">
        <w:rPr>
          <w:rFonts w:cstheme="minorHAnsi"/>
          <w:sz w:val="20"/>
          <w:szCs w:val="20"/>
        </w:rPr>
        <w:t xml:space="preserve"> have alerted us to a number of significant concerns relating to the care provided at </w:t>
      </w:r>
      <w:r w:rsidRPr="00DB5161">
        <w:rPr>
          <w:rFonts w:cstheme="minorHAnsi"/>
          <w:b/>
          <w:bCs/>
          <w:i/>
          <w:iCs/>
          <w:sz w:val="20"/>
          <w:szCs w:val="20"/>
        </w:rPr>
        <w:t>(Name of care home or Provider, if a community setting</w:t>
      </w:r>
      <w:r w:rsidRPr="00DB5161">
        <w:rPr>
          <w:rFonts w:cstheme="minorHAnsi"/>
          <w:b/>
          <w:bCs/>
          <w:sz w:val="20"/>
          <w:szCs w:val="20"/>
        </w:rPr>
        <w:t>)</w:t>
      </w:r>
      <w:r w:rsidRPr="00DB5161">
        <w:rPr>
          <w:rFonts w:cstheme="minorHAnsi"/>
          <w:sz w:val="20"/>
          <w:szCs w:val="20"/>
        </w:rPr>
        <w:t xml:space="preserve">. Due to the nature of the concerns the Local Authority have commenced their Large Scale Enquiry process. A ‘Large Scale Enquiry’ is an overarching safeguarding enquiry that is initiated by the council when there are concerns surrounding organisational abuse. Calderdale Local Authority </w:t>
      </w:r>
      <w:r w:rsidRPr="00DB5161">
        <w:rPr>
          <w:rFonts w:cstheme="minorHAnsi"/>
          <w:sz w:val="20"/>
          <w:szCs w:val="20"/>
        </w:rPr>
        <w:lastRenderedPageBreak/>
        <w:t xml:space="preserve">have also suspended new admissions/placements </w:t>
      </w:r>
      <w:r w:rsidRPr="00DB5161">
        <w:rPr>
          <w:rFonts w:cstheme="minorHAnsi"/>
          <w:b/>
          <w:bCs/>
          <w:i/>
          <w:iCs/>
          <w:sz w:val="20"/>
          <w:szCs w:val="20"/>
        </w:rPr>
        <w:t>(delete as appropriate)</w:t>
      </w:r>
      <w:r w:rsidRPr="00DB5161">
        <w:rPr>
          <w:rFonts w:cstheme="minorHAnsi"/>
          <w:sz w:val="20"/>
          <w:szCs w:val="20"/>
        </w:rPr>
        <w:t xml:space="preserve"> as of </w:t>
      </w:r>
      <w:r w:rsidRPr="00DB5161">
        <w:rPr>
          <w:rFonts w:cstheme="minorHAnsi"/>
          <w:b/>
          <w:bCs/>
          <w:i/>
          <w:iCs/>
          <w:sz w:val="20"/>
          <w:szCs w:val="20"/>
        </w:rPr>
        <w:t xml:space="preserve">(insert date), </w:t>
      </w:r>
      <w:r w:rsidRPr="00DB5161">
        <w:rPr>
          <w:rFonts w:cstheme="minorHAnsi"/>
          <w:sz w:val="20"/>
          <w:szCs w:val="20"/>
        </w:rPr>
        <w:t>until further notice.</w:t>
      </w:r>
    </w:p>
    <w:p w14:paraId="372B44BA" w14:textId="77777777" w:rsidR="000B37B2" w:rsidRPr="00DB5161" w:rsidRDefault="000B37B2" w:rsidP="000B37B2">
      <w:pPr>
        <w:rPr>
          <w:sz w:val="20"/>
          <w:szCs w:val="20"/>
        </w:rPr>
      </w:pPr>
      <w:r w:rsidRPr="00DB5161">
        <w:rPr>
          <w:sz w:val="20"/>
          <w:szCs w:val="20"/>
        </w:rPr>
        <w:t>The key areas of concern are:</w:t>
      </w:r>
    </w:p>
    <w:p w14:paraId="11F86013" w14:textId="77777777" w:rsidR="000B37B2" w:rsidRPr="00DB5161" w:rsidRDefault="000B37B2" w:rsidP="000B37B2">
      <w:pPr>
        <w:pStyle w:val="ListParagraph"/>
        <w:numPr>
          <w:ilvl w:val="0"/>
          <w:numId w:val="25"/>
        </w:numPr>
        <w:spacing w:after="10" w:line="254" w:lineRule="auto"/>
        <w:ind w:right="75"/>
        <w:rPr>
          <w:b/>
          <w:bCs/>
          <w:sz w:val="20"/>
          <w:szCs w:val="20"/>
        </w:rPr>
      </w:pPr>
      <w:r w:rsidRPr="00DB5161">
        <w:rPr>
          <w:b/>
          <w:bCs/>
          <w:sz w:val="20"/>
          <w:szCs w:val="20"/>
        </w:rPr>
        <w:t>(List them here)</w:t>
      </w:r>
    </w:p>
    <w:p w14:paraId="008A7DD7" w14:textId="77777777" w:rsidR="000B37B2" w:rsidRPr="00DB5161" w:rsidRDefault="000B37B2" w:rsidP="000B37B2">
      <w:pPr>
        <w:pStyle w:val="ListParagraph"/>
        <w:numPr>
          <w:ilvl w:val="0"/>
          <w:numId w:val="25"/>
        </w:numPr>
        <w:spacing w:after="10" w:line="254" w:lineRule="auto"/>
        <w:ind w:right="75"/>
        <w:rPr>
          <w:sz w:val="20"/>
          <w:szCs w:val="20"/>
        </w:rPr>
      </w:pPr>
    </w:p>
    <w:p w14:paraId="5C0A58C7" w14:textId="77777777" w:rsidR="000B37B2" w:rsidRPr="00DB5161" w:rsidRDefault="000B37B2" w:rsidP="000B37B2">
      <w:pPr>
        <w:pStyle w:val="ListParagraph"/>
        <w:numPr>
          <w:ilvl w:val="0"/>
          <w:numId w:val="25"/>
        </w:numPr>
        <w:spacing w:after="0" w:line="240" w:lineRule="auto"/>
        <w:ind w:right="75"/>
        <w:jc w:val="both"/>
        <w:rPr>
          <w:rFonts w:ascii="Calibri" w:eastAsia="Calibri" w:hAnsi="Calibri" w:cs="Times New Roman"/>
          <w:sz w:val="20"/>
          <w:szCs w:val="20"/>
        </w:rPr>
      </w:pPr>
    </w:p>
    <w:p w14:paraId="13FCA290" w14:textId="77777777" w:rsidR="000B37B2" w:rsidRPr="00DB5161" w:rsidRDefault="000B37B2" w:rsidP="000B37B2">
      <w:pPr>
        <w:spacing w:after="0" w:line="240" w:lineRule="auto"/>
        <w:rPr>
          <w:rFonts w:ascii="Calibri" w:eastAsia="Calibri" w:hAnsi="Calibri" w:cs="Times New Roman"/>
          <w:sz w:val="20"/>
          <w:szCs w:val="20"/>
        </w:rPr>
      </w:pPr>
    </w:p>
    <w:p w14:paraId="5DF52C34" w14:textId="77777777" w:rsidR="000B37B2" w:rsidRPr="00DB5161" w:rsidRDefault="000B37B2" w:rsidP="000B37B2">
      <w:pPr>
        <w:spacing w:after="0" w:line="240" w:lineRule="auto"/>
        <w:rPr>
          <w:rFonts w:ascii="Calibri" w:eastAsia="Calibri" w:hAnsi="Calibri" w:cs="Times New Roman"/>
          <w:sz w:val="20"/>
          <w:szCs w:val="20"/>
        </w:rPr>
      </w:pPr>
      <w:r w:rsidRPr="00DB5161">
        <w:rPr>
          <w:rFonts w:ascii="Calibri" w:eastAsia="Calibri" w:hAnsi="Calibri" w:cs="Times New Roman"/>
          <w:sz w:val="20"/>
          <w:szCs w:val="20"/>
        </w:rPr>
        <w:t xml:space="preserve">We are working closely with Calderdale Local Authority and Calderdale ICB </w:t>
      </w:r>
      <w:r w:rsidRPr="00DB5161">
        <w:rPr>
          <w:rFonts w:ascii="Calibri" w:eastAsia="Calibri" w:hAnsi="Calibri" w:cs="Times New Roman"/>
          <w:b/>
          <w:bCs/>
          <w:i/>
          <w:iCs/>
          <w:sz w:val="20"/>
          <w:szCs w:val="20"/>
        </w:rPr>
        <w:t>(delete as appropriate)</w:t>
      </w:r>
      <w:r w:rsidRPr="00DB5161">
        <w:rPr>
          <w:rFonts w:ascii="Calibri" w:eastAsia="Calibri" w:hAnsi="Calibri" w:cs="Times New Roman"/>
          <w:sz w:val="20"/>
          <w:szCs w:val="20"/>
        </w:rPr>
        <w:t xml:space="preserve"> to implement improvements and ensure we are delivering a safe service. We have a robust action plan in place which will support both immediate and more long-term changes. For your reassurance, Calderdale social workers are undertaking welfare checks on all our residents. We are also receiving regular visits from Calderdale Local Authority and ICB </w:t>
      </w:r>
      <w:r w:rsidRPr="00DB5161">
        <w:rPr>
          <w:rFonts w:ascii="Calibri" w:eastAsia="Calibri" w:hAnsi="Calibri" w:cs="Times New Roman"/>
          <w:b/>
          <w:bCs/>
          <w:i/>
          <w:iCs/>
          <w:sz w:val="20"/>
          <w:szCs w:val="20"/>
        </w:rPr>
        <w:t>(delete as appropriate)</w:t>
      </w:r>
      <w:r w:rsidRPr="00DB5161">
        <w:rPr>
          <w:rFonts w:ascii="Calibri" w:eastAsia="Calibri" w:hAnsi="Calibri" w:cs="Times New Roman"/>
          <w:sz w:val="20"/>
          <w:szCs w:val="20"/>
        </w:rPr>
        <w:t xml:space="preserve"> to challenge and support us with our progress. </w:t>
      </w:r>
    </w:p>
    <w:p w14:paraId="21ADA215" w14:textId="77777777" w:rsidR="000B37B2" w:rsidRPr="00DB5161" w:rsidRDefault="000B37B2" w:rsidP="000B37B2">
      <w:pPr>
        <w:rPr>
          <w:sz w:val="20"/>
          <w:szCs w:val="20"/>
        </w:rPr>
      </w:pPr>
    </w:p>
    <w:p w14:paraId="4A4A40BB" w14:textId="35446416" w:rsidR="000B37B2" w:rsidRPr="00DB5161" w:rsidRDefault="000B37B2" w:rsidP="000B37B2">
      <w:pPr>
        <w:rPr>
          <w:sz w:val="20"/>
          <w:szCs w:val="20"/>
        </w:rPr>
      </w:pPr>
      <w:r w:rsidRPr="00DB5161">
        <w:rPr>
          <w:sz w:val="20"/>
          <w:szCs w:val="20"/>
        </w:rPr>
        <w:t>Please be assured that we have taken this matter seriously and o</w:t>
      </w:r>
      <w:r w:rsidRPr="00DB5161">
        <w:rPr>
          <w:rFonts w:cstheme="minorHAnsi"/>
          <w:sz w:val="20"/>
          <w:szCs w:val="20"/>
        </w:rPr>
        <w:t xml:space="preserve">ur goal is to ensure the improvement work is embedded. We are dedicated and we will strive to provide the best possible care for your family members. </w:t>
      </w:r>
    </w:p>
    <w:p w14:paraId="6EEEE901" w14:textId="1BC08021" w:rsidR="000B37B2" w:rsidRPr="00DB5161" w:rsidRDefault="000B37B2" w:rsidP="000B37B2">
      <w:pPr>
        <w:rPr>
          <w:i/>
          <w:iCs/>
          <w:sz w:val="20"/>
          <w:szCs w:val="20"/>
        </w:rPr>
      </w:pPr>
      <w:r w:rsidRPr="00DB5161">
        <w:rPr>
          <w:rFonts w:cstheme="minorHAnsi"/>
          <w:sz w:val="20"/>
          <w:szCs w:val="20"/>
        </w:rPr>
        <w:t xml:space="preserve">We appreciate your support during this difficult time, if you have any questions please don’t hesitate to </w:t>
      </w:r>
      <w:r w:rsidRPr="00DB5161">
        <w:rPr>
          <w:sz w:val="20"/>
          <w:szCs w:val="20"/>
        </w:rPr>
        <w:t xml:space="preserve">contact </w:t>
      </w:r>
      <w:r w:rsidRPr="00DB5161">
        <w:rPr>
          <w:b/>
          <w:bCs/>
          <w:i/>
          <w:iCs/>
          <w:sz w:val="20"/>
          <w:szCs w:val="20"/>
        </w:rPr>
        <w:t xml:space="preserve">(provider to insert name, address, </w:t>
      </w:r>
      <w:r w:rsidR="005F1752" w:rsidRPr="00DB5161">
        <w:rPr>
          <w:b/>
          <w:bCs/>
          <w:i/>
          <w:iCs/>
          <w:sz w:val="20"/>
          <w:szCs w:val="20"/>
        </w:rPr>
        <w:t>email,</w:t>
      </w:r>
      <w:r w:rsidRPr="00DB5161">
        <w:rPr>
          <w:b/>
          <w:bCs/>
          <w:i/>
          <w:iCs/>
          <w:sz w:val="20"/>
          <w:szCs w:val="20"/>
        </w:rPr>
        <w:t xml:space="preserve"> and telephone number for the point of contact)</w:t>
      </w:r>
    </w:p>
    <w:p w14:paraId="34FC2D4A" w14:textId="43002730" w:rsidR="000B37B2" w:rsidRPr="00DB5161" w:rsidRDefault="000B37B2" w:rsidP="000B37B2">
      <w:pPr>
        <w:rPr>
          <w:sz w:val="20"/>
          <w:szCs w:val="20"/>
        </w:rPr>
      </w:pPr>
      <w:r w:rsidRPr="00DB5161">
        <w:rPr>
          <w:sz w:val="20"/>
          <w:szCs w:val="20"/>
        </w:rPr>
        <w:t>Yours sincerely,</w:t>
      </w:r>
    </w:p>
    <w:p w14:paraId="49623A5C" w14:textId="77777777" w:rsidR="000B37B2" w:rsidRPr="00DB5161" w:rsidRDefault="000B37B2" w:rsidP="000B37B2">
      <w:pPr>
        <w:rPr>
          <w:sz w:val="20"/>
          <w:szCs w:val="20"/>
        </w:rPr>
      </w:pPr>
      <w:r w:rsidRPr="00DB5161">
        <w:rPr>
          <w:sz w:val="20"/>
          <w:szCs w:val="20"/>
        </w:rPr>
        <w:t>(First Name) (Last Name)</w:t>
      </w:r>
    </w:p>
    <w:p w14:paraId="6D317D73" w14:textId="77777777" w:rsidR="004E03EE" w:rsidRPr="00DB5161" w:rsidRDefault="000B37B2" w:rsidP="004E03EE">
      <w:pPr>
        <w:rPr>
          <w:sz w:val="20"/>
          <w:szCs w:val="20"/>
        </w:rPr>
      </w:pPr>
      <w:r w:rsidRPr="00DB5161">
        <w:rPr>
          <w:sz w:val="20"/>
          <w:szCs w:val="20"/>
        </w:rPr>
        <w:t>(Position)</w:t>
      </w:r>
      <w:bookmarkStart w:id="61" w:name="_Toc89960763"/>
      <w:bookmarkStart w:id="62" w:name="_Toc121412210"/>
      <w:bookmarkStart w:id="63" w:name="_Toc121412289"/>
      <w:bookmarkStart w:id="64" w:name="_Toc121412207"/>
      <w:bookmarkStart w:id="65" w:name="_Toc121412286"/>
    </w:p>
    <w:p w14:paraId="09B303CD" w14:textId="77EC34ED" w:rsidR="000B37B2" w:rsidRPr="005F1752" w:rsidRDefault="000B37B2" w:rsidP="00325B71">
      <w:pPr>
        <w:pStyle w:val="Heading2"/>
        <w:numPr>
          <w:ilvl w:val="0"/>
          <w:numId w:val="0"/>
        </w:numPr>
        <w:ind w:left="284" w:hanging="284"/>
      </w:pPr>
      <w:bookmarkStart w:id="66" w:name="_Toc157067030"/>
      <w:r w:rsidRPr="005F1752">
        <w:t>Appendix 5</w:t>
      </w:r>
      <w:bookmarkEnd w:id="61"/>
      <w:r w:rsidRPr="005F1752">
        <w:t>: Letter of Notification to Placing Authority</w:t>
      </w:r>
      <w:bookmarkEnd w:id="62"/>
      <w:bookmarkEnd w:id="63"/>
      <w:bookmarkEnd w:id="66"/>
    </w:p>
    <w:p w14:paraId="6E58A48F" w14:textId="4A392C44" w:rsidR="000B37B2" w:rsidRPr="00DB5161" w:rsidRDefault="000B37B2" w:rsidP="000B37B2">
      <w:pPr>
        <w:spacing w:after="35" w:line="254" w:lineRule="auto"/>
        <w:ind w:right="3"/>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Please send this letter to all placing authorities via email on Calderdale letter </w:t>
      </w:r>
      <w:r w:rsidRPr="00DB5161">
        <w:rPr>
          <w:rFonts w:ascii="Calibri" w:eastAsia="Calibri" w:hAnsi="Calibri" w:cs="Times New Roman"/>
          <w:sz w:val="20"/>
          <w:szCs w:val="20"/>
        </w:rPr>
        <w:t>headed paper</w:t>
      </w:r>
      <w:r w:rsidRPr="00DB5161">
        <w:rPr>
          <w:rFonts w:ascii="Calibri" w:eastAsia="Tahoma" w:hAnsi="Calibri" w:cs="Calibri"/>
          <w:color w:val="000000"/>
          <w:sz w:val="20"/>
          <w:szCs w:val="20"/>
          <w:lang w:eastAsia="en-GB"/>
        </w:rPr>
        <w:t xml:space="preserve"> in the senior manager’s name  </w:t>
      </w:r>
    </w:p>
    <w:p w14:paraId="59AE0705" w14:textId="77777777" w:rsidR="000B37B2" w:rsidRPr="00DB5161" w:rsidRDefault="000B37B2" w:rsidP="000B37B2">
      <w:pPr>
        <w:spacing w:after="10" w:line="254" w:lineRule="auto"/>
        <w:ind w:left="115" w:right="107" w:hanging="10"/>
        <w:jc w:val="both"/>
        <w:rPr>
          <w:rFonts w:ascii="Calibri" w:eastAsia="Tahoma" w:hAnsi="Calibri" w:cs="Calibri"/>
          <w:color w:val="000000"/>
          <w:sz w:val="20"/>
          <w:szCs w:val="20"/>
          <w:lang w:eastAsia="en-GB"/>
        </w:rPr>
      </w:pPr>
    </w:p>
    <w:p w14:paraId="04503B70" w14:textId="77777777" w:rsidR="000B37B2" w:rsidRPr="00DB5161" w:rsidRDefault="000B37B2" w:rsidP="000B37B2">
      <w:pPr>
        <w:spacing w:after="10" w:line="254" w:lineRule="auto"/>
        <w:ind w:left="115" w:right="107" w:hanging="10"/>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To Whom This May Concern,</w:t>
      </w:r>
    </w:p>
    <w:p w14:paraId="1504EB64" w14:textId="77777777" w:rsidR="000B37B2" w:rsidRPr="00DB5161" w:rsidRDefault="000B37B2" w:rsidP="000B37B2">
      <w:pPr>
        <w:spacing w:after="10" w:line="254" w:lineRule="auto"/>
        <w:ind w:left="115" w:right="107" w:hanging="10"/>
        <w:jc w:val="both"/>
        <w:rPr>
          <w:rFonts w:ascii="Calibri" w:eastAsia="Tahoma" w:hAnsi="Calibri" w:cs="Calibri"/>
          <w:color w:val="000000"/>
          <w:sz w:val="20"/>
          <w:szCs w:val="20"/>
          <w:lang w:eastAsia="en-GB"/>
        </w:rPr>
      </w:pPr>
    </w:p>
    <w:p w14:paraId="78C71B8A" w14:textId="77777777" w:rsidR="000B37B2" w:rsidRPr="00DB5161" w:rsidRDefault="000B37B2" w:rsidP="000B37B2">
      <w:pPr>
        <w:spacing w:after="10" w:line="254" w:lineRule="auto"/>
        <w:ind w:left="115" w:right="107" w:hanging="10"/>
        <w:jc w:val="both"/>
        <w:rPr>
          <w:rFonts w:ascii="Calibri" w:eastAsia="Tahoma" w:hAnsi="Calibri" w:cs="Calibri"/>
          <w:b/>
          <w:bCs/>
          <w:color w:val="000000"/>
          <w:sz w:val="20"/>
          <w:szCs w:val="20"/>
          <w:lang w:eastAsia="en-GB"/>
        </w:rPr>
      </w:pPr>
      <w:r w:rsidRPr="00DB5161">
        <w:rPr>
          <w:rFonts w:ascii="Calibri" w:eastAsia="Tahoma" w:hAnsi="Calibri" w:cs="Calibri"/>
          <w:b/>
          <w:bCs/>
          <w:color w:val="000000"/>
          <w:sz w:val="20"/>
          <w:szCs w:val="20"/>
          <w:lang w:eastAsia="en-GB"/>
        </w:rPr>
        <w:t xml:space="preserve">Re: </w:t>
      </w:r>
      <w:r w:rsidRPr="00DB5161">
        <w:rPr>
          <w:rFonts w:ascii="Calibri" w:eastAsia="Tahoma" w:hAnsi="Calibri" w:cs="Calibri"/>
          <w:b/>
          <w:bCs/>
          <w:i/>
          <w:iCs/>
          <w:color w:val="000000"/>
          <w:sz w:val="20"/>
          <w:szCs w:val="20"/>
          <w:lang w:eastAsia="en-GB"/>
        </w:rPr>
        <w:t>(Insert Care Home or provider name)</w:t>
      </w:r>
    </w:p>
    <w:p w14:paraId="09787087" w14:textId="77777777" w:rsidR="000B37B2" w:rsidRPr="00DB5161" w:rsidRDefault="000B37B2" w:rsidP="000B37B2">
      <w:pPr>
        <w:spacing w:after="10" w:line="254" w:lineRule="auto"/>
        <w:ind w:left="115" w:right="107" w:hanging="10"/>
        <w:jc w:val="both"/>
        <w:rPr>
          <w:rFonts w:ascii="Calibri" w:eastAsia="Times New Roman" w:hAnsi="Calibri" w:cs="Calibri"/>
          <w:sz w:val="20"/>
          <w:szCs w:val="20"/>
        </w:rPr>
      </w:pPr>
    </w:p>
    <w:p w14:paraId="6C819407" w14:textId="77777777" w:rsidR="000B37B2" w:rsidRPr="00DB5161" w:rsidRDefault="000B37B2" w:rsidP="000B37B2">
      <w:pPr>
        <w:spacing w:after="10" w:line="254" w:lineRule="auto"/>
        <w:ind w:left="115" w:right="107" w:hanging="10"/>
        <w:jc w:val="both"/>
        <w:rPr>
          <w:rFonts w:ascii="Calibri" w:eastAsia="Times New Roman" w:hAnsi="Calibri" w:cs="Calibri"/>
          <w:sz w:val="20"/>
          <w:szCs w:val="20"/>
        </w:rPr>
      </w:pPr>
      <w:r w:rsidRPr="00DB5161">
        <w:rPr>
          <w:rFonts w:ascii="Calibri" w:eastAsia="Times New Roman" w:hAnsi="Calibri" w:cs="Calibri"/>
          <w:sz w:val="20"/>
          <w:szCs w:val="20"/>
        </w:rPr>
        <w:t xml:space="preserve">We understand that you are the responsible placing authority for an individual/s at </w:t>
      </w:r>
      <w:r w:rsidRPr="00DB5161">
        <w:rPr>
          <w:rFonts w:ascii="Calibri" w:eastAsia="Times New Roman" w:hAnsi="Calibri" w:cs="Calibri"/>
          <w:b/>
          <w:bCs/>
          <w:i/>
          <w:iCs/>
          <w:sz w:val="20"/>
          <w:szCs w:val="20"/>
        </w:rPr>
        <w:t>(Insert Care Home or provider name if community)</w:t>
      </w:r>
      <w:r w:rsidRPr="00DB5161">
        <w:rPr>
          <w:rFonts w:ascii="Calibri" w:eastAsia="Times New Roman" w:hAnsi="Calibri" w:cs="Calibri"/>
          <w:sz w:val="20"/>
          <w:szCs w:val="20"/>
        </w:rPr>
        <w:t xml:space="preserve">. We are therefore writing to notify you that a Large Scale Enquiry has commenced within this service. </w:t>
      </w:r>
    </w:p>
    <w:p w14:paraId="4218B818" w14:textId="77777777" w:rsidR="000B37B2" w:rsidRPr="00DB5161" w:rsidRDefault="000B37B2" w:rsidP="000B37B2">
      <w:pPr>
        <w:spacing w:after="10" w:line="254" w:lineRule="auto"/>
        <w:ind w:left="115" w:right="3" w:hanging="10"/>
        <w:jc w:val="both"/>
        <w:rPr>
          <w:rFonts w:ascii="Calibri" w:eastAsia="Times New Roman" w:hAnsi="Calibri" w:cs="Calibri"/>
          <w:sz w:val="20"/>
          <w:szCs w:val="20"/>
        </w:rPr>
      </w:pPr>
    </w:p>
    <w:p w14:paraId="495B4BC2" w14:textId="77777777" w:rsidR="000B37B2" w:rsidRPr="00DB5161" w:rsidRDefault="000B37B2" w:rsidP="000B37B2">
      <w:pPr>
        <w:spacing w:after="10" w:line="254" w:lineRule="auto"/>
        <w:ind w:left="115" w:right="3" w:hanging="10"/>
        <w:jc w:val="both"/>
        <w:rPr>
          <w:rFonts w:ascii="Calibri" w:eastAsia="Times New Roman" w:hAnsi="Calibri" w:cs="Calibri"/>
          <w:sz w:val="20"/>
          <w:szCs w:val="20"/>
        </w:rPr>
      </w:pPr>
      <w:r w:rsidRPr="00DB5161">
        <w:rPr>
          <w:rFonts w:ascii="Calibri" w:eastAsia="Times New Roman" w:hAnsi="Calibri" w:cs="Calibri"/>
          <w:sz w:val="20"/>
          <w:szCs w:val="20"/>
        </w:rPr>
        <w:t>The Key Areas of Concern are:</w:t>
      </w:r>
    </w:p>
    <w:p w14:paraId="4E761F8D" w14:textId="77777777" w:rsidR="000B37B2" w:rsidRPr="00DB5161" w:rsidRDefault="000B37B2" w:rsidP="000B37B2">
      <w:pPr>
        <w:pStyle w:val="ListParagraph"/>
        <w:numPr>
          <w:ilvl w:val="0"/>
          <w:numId w:val="24"/>
        </w:numPr>
        <w:spacing w:after="10" w:line="254" w:lineRule="auto"/>
        <w:ind w:right="3"/>
        <w:jc w:val="both"/>
        <w:rPr>
          <w:rFonts w:ascii="Calibri" w:eastAsia="Times New Roman" w:hAnsi="Calibri" w:cs="Calibri"/>
          <w:sz w:val="20"/>
          <w:szCs w:val="20"/>
        </w:rPr>
      </w:pPr>
      <w:r w:rsidRPr="00DB5161">
        <w:rPr>
          <w:rFonts w:ascii="Calibri" w:eastAsia="Times New Roman" w:hAnsi="Calibri" w:cs="Calibri"/>
          <w:sz w:val="20"/>
          <w:szCs w:val="20"/>
        </w:rPr>
        <w:t xml:space="preserve">Insert them here </w:t>
      </w:r>
    </w:p>
    <w:p w14:paraId="24A54867" w14:textId="77777777" w:rsidR="000B37B2" w:rsidRPr="00DB5161" w:rsidRDefault="000B37B2" w:rsidP="000B37B2">
      <w:pPr>
        <w:pStyle w:val="ListParagraph"/>
        <w:numPr>
          <w:ilvl w:val="0"/>
          <w:numId w:val="24"/>
        </w:numPr>
        <w:spacing w:after="10" w:line="254" w:lineRule="auto"/>
        <w:ind w:right="3"/>
        <w:jc w:val="both"/>
        <w:rPr>
          <w:rFonts w:ascii="Calibri" w:eastAsia="Times New Roman" w:hAnsi="Calibri" w:cs="Calibri"/>
          <w:sz w:val="20"/>
          <w:szCs w:val="20"/>
        </w:rPr>
      </w:pPr>
    </w:p>
    <w:p w14:paraId="73D76BA2" w14:textId="77777777" w:rsidR="000B37B2" w:rsidRPr="00DB5161" w:rsidRDefault="000B37B2" w:rsidP="000B37B2">
      <w:pPr>
        <w:spacing w:after="10" w:line="254" w:lineRule="auto"/>
        <w:ind w:right="3"/>
        <w:jc w:val="both"/>
        <w:rPr>
          <w:rFonts w:ascii="Calibri" w:eastAsia="Times New Roman" w:hAnsi="Calibri" w:cs="Calibri"/>
          <w:sz w:val="20"/>
          <w:szCs w:val="20"/>
        </w:rPr>
      </w:pPr>
    </w:p>
    <w:p w14:paraId="2A492C59" w14:textId="77777777" w:rsidR="000B37B2" w:rsidRPr="00DB5161" w:rsidRDefault="000B37B2" w:rsidP="000B37B2">
      <w:pPr>
        <w:spacing w:after="10" w:line="254" w:lineRule="auto"/>
        <w:ind w:left="115" w:right="3" w:hanging="10"/>
        <w:jc w:val="both"/>
        <w:rPr>
          <w:rFonts w:ascii="Calibri" w:eastAsia="Tahoma" w:hAnsi="Calibri" w:cs="Calibri"/>
          <w:color w:val="000000"/>
          <w:sz w:val="20"/>
          <w:szCs w:val="20"/>
          <w:lang w:eastAsia="en-GB"/>
        </w:rPr>
      </w:pPr>
      <w:r w:rsidRPr="00DB5161">
        <w:rPr>
          <w:rFonts w:ascii="Calibri" w:eastAsia="Times New Roman" w:hAnsi="Calibri" w:cs="Calibri"/>
          <w:sz w:val="20"/>
          <w:szCs w:val="20"/>
        </w:rPr>
        <w:t>Calderdale Council a</w:t>
      </w:r>
      <w:r w:rsidRPr="00DB5161">
        <w:rPr>
          <w:rFonts w:ascii="Calibri" w:eastAsia="Tahoma" w:hAnsi="Calibri" w:cs="Calibri"/>
          <w:color w:val="000000"/>
          <w:sz w:val="20"/>
          <w:szCs w:val="20"/>
          <w:lang w:eastAsia="en-GB"/>
        </w:rPr>
        <w:t xml:space="preserve">re fulfilling our obligations in relation to Safeguarding Adults as the ‘Host’ Authority. </w:t>
      </w:r>
    </w:p>
    <w:p w14:paraId="54372DF8" w14:textId="77777777" w:rsidR="000B37B2" w:rsidRPr="00DB5161" w:rsidRDefault="000B37B2" w:rsidP="000B37B2">
      <w:pPr>
        <w:spacing w:after="0"/>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 </w:t>
      </w:r>
    </w:p>
    <w:p w14:paraId="63EB628D" w14:textId="77777777" w:rsidR="000B37B2" w:rsidRPr="00DB5161" w:rsidRDefault="000B37B2" w:rsidP="000B37B2">
      <w:pPr>
        <w:spacing w:after="31" w:line="254" w:lineRule="auto"/>
        <w:ind w:left="115" w:right="3" w:hanging="10"/>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Our role is defined as: </w:t>
      </w:r>
    </w:p>
    <w:p w14:paraId="5830A4CC" w14:textId="77777777" w:rsidR="000B37B2" w:rsidRPr="00DB5161" w:rsidRDefault="000B37B2" w:rsidP="000B37B2">
      <w:pPr>
        <w:numPr>
          <w:ilvl w:val="0"/>
          <w:numId w:val="22"/>
        </w:numPr>
        <w:spacing w:after="10" w:line="254" w:lineRule="auto"/>
        <w:ind w:right="91"/>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Taking the initial lead on responding to the referral </w:t>
      </w:r>
    </w:p>
    <w:p w14:paraId="5D2EFD53" w14:textId="77777777" w:rsidR="000B37B2" w:rsidRPr="00DB5161" w:rsidRDefault="000B37B2" w:rsidP="000B37B2">
      <w:pPr>
        <w:numPr>
          <w:ilvl w:val="0"/>
          <w:numId w:val="22"/>
        </w:numPr>
        <w:spacing w:after="10" w:line="254" w:lineRule="auto"/>
        <w:ind w:right="91"/>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Co-ordinating initial information gathering, background checks and ensure a prompt notification to the ‘placing authority’ and other relevant agencies </w:t>
      </w:r>
    </w:p>
    <w:p w14:paraId="6EB94379" w14:textId="77777777" w:rsidR="000B37B2" w:rsidRPr="00DB5161" w:rsidRDefault="000B37B2" w:rsidP="000B37B2">
      <w:pPr>
        <w:numPr>
          <w:ilvl w:val="0"/>
          <w:numId w:val="22"/>
        </w:numPr>
        <w:spacing w:after="10" w:line="254" w:lineRule="auto"/>
        <w:ind w:right="91"/>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Co-ordinate any enquiry </w:t>
      </w:r>
    </w:p>
    <w:p w14:paraId="545E6F7E" w14:textId="77777777" w:rsidR="000B37B2" w:rsidRPr="00DB5161" w:rsidRDefault="000B37B2" w:rsidP="000B37B2">
      <w:pPr>
        <w:spacing w:after="0"/>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 </w:t>
      </w:r>
    </w:p>
    <w:p w14:paraId="45E81C66" w14:textId="6F5D5F04" w:rsidR="000B37B2" w:rsidRPr="00DB5161" w:rsidRDefault="000B37B2" w:rsidP="000B37B2">
      <w:pPr>
        <w:spacing w:after="10" w:line="254" w:lineRule="auto"/>
        <w:ind w:left="30" w:right="252" w:hanging="10"/>
        <w:jc w:val="both"/>
        <w:rPr>
          <w:rFonts w:eastAsia="Tahoma" w:cstheme="minorHAnsi"/>
          <w:color w:val="000000"/>
          <w:sz w:val="20"/>
          <w:szCs w:val="20"/>
          <w:lang w:eastAsia="en-GB"/>
        </w:rPr>
      </w:pPr>
      <w:r w:rsidRPr="00DB5161">
        <w:rPr>
          <w:rFonts w:ascii="Calibri" w:eastAsia="Tahoma" w:hAnsi="Calibri" w:cs="Calibri"/>
          <w:color w:val="000000"/>
          <w:sz w:val="20"/>
          <w:szCs w:val="20"/>
          <w:lang w:eastAsia="en-GB"/>
        </w:rPr>
        <w:t xml:space="preserve">The Placing Authority is responsible for providing support to the Adult at Risk and planning their future care needs, either as an alleged victim or </w:t>
      </w:r>
      <w:r w:rsidR="009A731B">
        <w:rPr>
          <w:rFonts w:ascii="Calibri" w:eastAsia="Tahoma" w:hAnsi="Calibri" w:cs="Calibri"/>
          <w:color w:val="000000"/>
          <w:sz w:val="20"/>
          <w:szCs w:val="20"/>
          <w:lang w:eastAsia="en-GB"/>
        </w:rPr>
        <w:t xml:space="preserve">Person(s) Alleged to have Caused </w:t>
      </w:r>
      <w:r w:rsidR="00D86BD0">
        <w:rPr>
          <w:rFonts w:ascii="Calibri" w:eastAsia="Tahoma" w:hAnsi="Calibri" w:cs="Calibri"/>
          <w:color w:val="000000"/>
          <w:sz w:val="20"/>
          <w:szCs w:val="20"/>
          <w:lang w:eastAsia="en-GB"/>
        </w:rPr>
        <w:t>Harm.</w:t>
      </w:r>
      <w:r w:rsidRPr="00DB5161">
        <w:rPr>
          <w:rFonts w:ascii="Calibri" w:eastAsia="Tahoma" w:hAnsi="Calibri" w:cs="Calibri"/>
          <w:color w:val="000000"/>
          <w:sz w:val="20"/>
          <w:szCs w:val="20"/>
          <w:lang w:eastAsia="en-GB"/>
        </w:rPr>
        <w:t xml:space="preserve"> The Placing Authority should nominate a link person for liaison purposes during the enquiry. This link person will be invited to attend any </w:t>
      </w:r>
      <w:r w:rsidRPr="00DB5161">
        <w:rPr>
          <w:rFonts w:ascii="Calibri" w:eastAsia="Tahoma" w:hAnsi="Calibri" w:cs="Calibri"/>
          <w:color w:val="000000"/>
          <w:sz w:val="20"/>
          <w:szCs w:val="20"/>
          <w:lang w:eastAsia="en-GB"/>
        </w:rPr>
        <w:lastRenderedPageBreak/>
        <w:t xml:space="preserve">Large Scale Enquiry Multi-Agency Safeguarding Meeting and/or may be required to submit a written report. </w:t>
      </w:r>
      <w:r w:rsidRPr="00DB5161">
        <w:rPr>
          <w:rFonts w:eastAsia="Times New Roman" w:cstheme="minorHAnsi"/>
          <w:sz w:val="20"/>
          <w:szCs w:val="20"/>
        </w:rPr>
        <w:t xml:space="preserve">We are planning to have an initial meeting on (insert date, time, location, or teams), the invites will follow. </w:t>
      </w:r>
    </w:p>
    <w:p w14:paraId="749656E8" w14:textId="77777777" w:rsidR="000B37B2" w:rsidRPr="00DB5161" w:rsidRDefault="000B37B2" w:rsidP="000B37B2">
      <w:pPr>
        <w:spacing w:after="0"/>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 </w:t>
      </w:r>
    </w:p>
    <w:p w14:paraId="46910B06" w14:textId="77777777" w:rsidR="000B37B2" w:rsidRPr="00DB5161" w:rsidRDefault="000B37B2" w:rsidP="000B37B2">
      <w:pPr>
        <w:spacing w:after="10" w:line="254" w:lineRule="auto"/>
        <w:ind w:left="40" w:right="3" w:hanging="10"/>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I am writing to suggest that you satisfy yourself that: </w:t>
      </w:r>
    </w:p>
    <w:p w14:paraId="4560D20D" w14:textId="77777777" w:rsidR="000B37B2" w:rsidRPr="00DB5161" w:rsidRDefault="000B37B2" w:rsidP="000B37B2">
      <w:pPr>
        <w:numPr>
          <w:ilvl w:val="0"/>
          <w:numId w:val="23"/>
        </w:numPr>
        <w:spacing w:after="10" w:line="254" w:lineRule="auto"/>
        <w:ind w:right="3"/>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A link person has been identified and will be present at enquiry meetings. </w:t>
      </w:r>
    </w:p>
    <w:p w14:paraId="2E6713A4" w14:textId="77777777" w:rsidR="000B37B2" w:rsidRPr="00DB5161" w:rsidRDefault="000B37B2" w:rsidP="000B37B2">
      <w:pPr>
        <w:numPr>
          <w:ilvl w:val="0"/>
          <w:numId w:val="23"/>
        </w:numPr>
        <w:spacing w:after="10" w:line="254" w:lineRule="auto"/>
        <w:ind w:right="3"/>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The continued placement is safe, meeting the needs of the individual and is in their best interests. </w:t>
      </w:r>
    </w:p>
    <w:p w14:paraId="43694907" w14:textId="77777777" w:rsidR="000B37B2" w:rsidRPr="00DB5161" w:rsidRDefault="000B37B2" w:rsidP="000B37B2">
      <w:pPr>
        <w:numPr>
          <w:ilvl w:val="0"/>
          <w:numId w:val="23"/>
        </w:numPr>
        <w:spacing w:after="10" w:line="254" w:lineRule="auto"/>
        <w:ind w:right="3"/>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The relatives or advocates of the individual have been kept informed of the enquiry and the process your staff have put in place to inform them of the outcome. </w:t>
      </w:r>
    </w:p>
    <w:p w14:paraId="39237234" w14:textId="77777777" w:rsidR="000B37B2" w:rsidRPr="00DB5161" w:rsidRDefault="000B37B2" w:rsidP="000B37B2">
      <w:pPr>
        <w:spacing w:after="0"/>
        <w:ind w:firstLine="45"/>
        <w:rPr>
          <w:rFonts w:ascii="Calibri" w:eastAsia="Tahoma" w:hAnsi="Calibri" w:cs="Calibri"/>
          <w:color w:val="000000"/>
          <w:sz w:val="20"/>
          <w:szCs w:val="20"/>
          <w:lang w:eastAsia="en-GB"/>
        </w:rPr>
      </w:pPr>
    </w:p>
    <w:p w14:paraId="1FE0F482" w14:textId="77777777" w:rsidR="000B37B2" w:rsidRPr="00DB5161" w:rsidRDefault="000B37B2" w:rsidP="000B37B2">
      <w:pPr>
        <w:spacing w:after="10" w:line="254" w:lineRule="auto"/>
        <w:ind w:left="130" w:right="3" w:hanging="10"/>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We understand that the ongoing placement for your placed individual/s is a matter for your Commissioning Manager to decide and not something we, as the ‘Host’ Authority can decide or advise upon. </w:t>
      </w:r>
    </w:p>
    <w:p w14:paraId="1410DADF" w14:textId="77777777" w:rsidR="000B37B2" w:rsidRPr="00DB5161" w:rsidRDefault="000B37B2" w:rsidP="000B37B2">
      <w:pPr>
        <w:spacing w:after="10" w:line="254" w:lineRule="auto"/>
        <w:ind w:left="115" w:right="3" w:hanging="10"/>
        <w:jc w:val="both"/>
        <w:rPr>
          <w:rFonts w:ascii="Calibri" w:eastAsia="Tahoma" w:hAnsi="Calibri" w:cs="Calibri"/>
          <w:color w:val="000000"/>
          <w:sz w:val="20"/>
          <w:szCs w:val="20"/>
          <w:lang w:eastAsia="en-GB"/>
        </w:rPr>
      </w:pPr>
    </w:p>
    <w:p w14:paraId="65A966F7" w14:textId="77777777" w:rsidR="000B37B2" w:rsidRPr="00DB5161" w:rsidRDefault="000B37B2" w:rsidP="000B37B2">
      <w:pPr>
        <w:spacing w:after="10" w:line="254" w:lineRule="auto"/>
        <w:ind w:right="2160" w:firstLine="120"/>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I hope you find this letter helpful in clarifying the current position.  </w:t>
      </w:r>
    </w:p>
    <w:p w14:paraId="2EDFF649" w14:textId="77777777" w:rsidR="000B37B2" w:rsidRPr="00DB5161" w:rsidRDefault="000B37B2" w:rsidP="000B37B2">
      <w:pPr>
        <w:spacing w:after="10" w:line="254" w:lineRule="auto"/>
        <w:ind w:left="115" w:right="3" w:hanging="10"/>
        <w:jc w:val="both"/>
        <w:rPr>
          <w:rFonts w:ascii="Calibri" w:eastAsia="Tahoma" w:hAnsi="Calibri" w:cs="Calibri"/>
          <w:color w:val="000000"/>
          <w:sz w:val="20"/>
          <w:szCs w:val="20"/>
          <w:lang w:eastAsia="en-GB"/>
        </w:rPr>
      </w:pPr>
    </w:p>
    <w:p w14:paraId="60F81F37" w14:textId="77777777" w:rsidR="000B37B2" w:rsidRPr="00DB5161" w:rsidRDefault="000B37B2" w:rsidP="000B37B2">
      <w:pPr>
        <w:spacing w:after="10" w:line="254" w:lineRule="auto"/>
        <w:ind w:left="115" w:right="3" w:hanging="10"/>
        <w:jc w:val="both"/>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Yours sincerely, </w:t>
      </w:r>
    </w:p>
    <w:p w14:paraId="29D272E0" w14:textId="77777777" w:rsidR="000B37B2" w:rsidRPr="00DB5161" w:rsidRDefault="000B37B2" w:rsidP="000B37B2">
      <w:pPr>
        <w:spacing w:after="0"/>
        <w:rPr>
          <w:rFonts w:ascii="Calibri" w:eastAsia="Tahoma" w:hAnsi="Calibri" w:cs="Calibri"/>
          <w:color w:val="000000"/>
          <w:sz w:val="20"/>
          <w:szCs w:val="20"/>
          <w:lang w:eastAsia="en-GB"/>
        </w:rPr>
      </w:pPr>
      <w:r w:rsidRPr="00DB5161">
        <w:rPr>
          <w:rFonts w:ascii="Calibri" w:eastAsia="Tahoma" w:hAnsi="Calibri" w:cs="Calibri"/>
          <w:color w:val="000000"/>
          <w:sz w:val="20"/>
          <w:szCs w:val="20"/>
          <w:lang w:eastAsia="en-GB"/>
        </w:rPr>
        <w:t xml:space="preserve"> </w:t>
      </w:r>
    </w:p>
    <w:p w14:paraId="098DB273" w14:textId="77777777" w:rsidR="000B37B2" w:rsidRPr="00DB5161" w:rsidRDefault="000B37B2" w:rsidP="000B37B2">
      <w:pPr>
        <w:spacing w:after="10" w:line="254" w:lineRule="auto"/>
        <w:ind w:left="130" w:right="75" w:hanging="10"/>
        <w:rPr>
          <w:rFonts w:ascii="Calibri" w:eastAsia="Calibri" w:hAnsi="Calibri" w:cs="Calibri"/>
          <w:sz w:val="20"/>
          <w:szCs w:val="20"/>
        </w:rPr>
      </w:pPr>
      <w:r w:rsidRPr="00DB5161">
        <w:rPr>
          <w:rFonts w:ascii="Calibri" w:eastAsia="Tahoma" w:hAnsi="Calibri" w:cs="Calibri"/>
          <w:color w:val="000000"/>
          <w:sz w:val="20"/>
          <w:szCs w:val="20"/>
          <w:lang w:eastAsia="en-GB"/>
        </w:rPr>
        <w:t xml:space="preserve"> </w:t>
      </w:r>
      <w:r w:rsidRPr="00DB5161">
        <w:rPr>
          <w:rFonts w:ascii="Calibri" w:eastAsia="Calibri" w:hAnsi="Calibri" w:cs="Calibri"/>
          <w:sz w:val="20"/>
          <w:szCs w:val="20"/>
        </w:rPr>
        <w:t>(First Name) (Last Name)</w:t>
      </w:r>
    </w:p>
    <w:p w14:paraId="1C03ACA9" w14:textId="77777777" w:rsidR="000B37B2" w:rsidRPr="00DB5161" w:rsidRDefault="000B37B2" w:rsidP="000B37B2">
      <w:pPr>
        <w:spacing w:after="10" w:line="254" w:lineRule="auto"/>
        <w:ind w:left="140" w:right="75" w:hanging="10"/>
        <w:rPr>
          <w:rFonts w:ascii="Calibri" w:eastAsia="Calibri" w:hAnsi="Calibri" w:cs="Calibri"/>
          <w:sz w:val="20"/>
          <w:szCs w:val="20"/>
        </w:rPr>
      </w:pPr>
      <w:r w:rsidRPr="00DB5161">
        <w:rPr>
          <w:rFonts w:ascii="Calibri" w:eastAsia="Calibri" w:hAnsi="Calibri" w:cs="Calibri"/>
          <w:sz w:val="20"/>
          <w:szCs w:val="20"/>
        </w:rPr>
        <w:t xml:space="preserve">(Senior Managers Title) </w:t>
      </w:r>
    </w:p>
    <w:p w14:paraId="3AE63DDE" w14:textId="3152B207" w:rsidR="00775EBD" w:rsidRDefault="00775EBD" w:rsidP="004E03EE">
      <w:pPr>
        <w:spacing w:after="10" w:line="254" w:lineRule="auto"/>
        <w:ind w:right="75"/>
        <w:rPr>
          <w:rFonts w:ascii="Calibri" w:eastAsia="Calibri" w:hAnsi="Calibri" w:cs="Calibri"/>
        </w:rPr>
      </w:pPr>
    </w:p>
    <w:p w14:paraId="4C848225" w14:textId="77777777" w:rsidR="00DB5161" w:rsidRDefault="00DB5161" w:rsidP="004E03EE">
      <w:pPr>
        <w:spacing w:after="10" w:line="254" w:lineRule="auto"/>
        <w:ind w:right="75"/>
        <w:rPr>
          <w:rFonts w:ascii="Calibri" w:eastAsia="Calibri" w:hAnsi="Calibri" w:cs="Calibri"/>
        </w:rPr>
      </w:pPr>
    </w:p>
    <w:p w14:paraId="3917EFD2" w14:textId="35CCF64A" w:rsidR="004E03EE" w:rsidRPr="00B52BC9" w:rsidRDefault="004E03EE" w:rsidP="00325B71">
      <w:pPr>
        <w:pStyle w:val="Heading2"/>
        <w:numPr>
          <w:ilvl w:val="0"/>
          <w:numId w:val="0"/>
        </w:numPr>
        <w:ind w:left="284" w:hanging="284"/>
      </w:pPr>
      <w:bookmarkStart w:id="67" w:name="_Toc121412211"/>
      <w:bookmarkStart w:id="68" w:name="_Toc121412290"/>
      <w:bookmarkStart w:id="69" w:name="_Toc157067031"/>
      <w:r w:rsidRPr="00B52BC9">
        <w:t>Appendix 6</w:t>
      </w:r>
      <w:bookmarkEnd w:id="67"/>
      <w:bookmarkEnd w:id="68"/>
      <w:r>
        <w:t xml:space="preserve"> </w:t>
      </w:r>
      <w:r w:rsidR="00EC553A">
        <w:t>–</w:t>
      </w:r>
      <w:r>
        <w:t xml:space="preserve"> </w:t>
      </w:r>
      <w:r w:rsidR="00EC553A">
        <w:t>Escalation Process</w:t>
      </w:r>
      <w:bookmarkEnd w:id="69"/>
    </w:p>
    <w:tbl>
      <w:tblPr>
        <w:tblStyle w:val="TableGrid"/>
        <w:tblW w:w="0" w:type="auto"/>
        <w:tblLook w:val="04A0" w:firstRow="1" w:lastRow="0" w:firstColumn="1" w:lastColumn="0" w:noHBand="0" w:noVBand="1"/>
      </w:tblPr>
      <w:tblGrid>
        <w:gridCol w:w="9016"/>
      </w:tblGrid>
      <w:tr w:rsidR="004E03EE" w14:paraId="22751247" w14:textId="77777777" w:rsidTr="00C40196">
        <w:tc>
          <w:tcPr>
            <w:tcW w:w="9016" w:type="dxa"/>
          </w:tcPr>
          <w:p w14:paraId="66581B29" w14:textId="77777777" w:rsidR="004E03EE" w:rsidRPr="00033E94" w:rsidRDefault="004E03EE" w:rsidP="00C40196">
            <w:pPr>
              <w:jc w:val="center"/>
              <w:rPr>
                <w:b/>
                <w:bCs/>
                <w:sz w:val="28"/>
                <w:szCs w:val="28"/>
              </w:rPr>
            </w:pPr>
            <w:r w:rsidRPr="00033E94">
              <w:rPr>
                <w:b/>
                <w:bCs/>
                <w:sz w:val="28"/>
                <w:szCs w:val="28"/>
              </w:rPr>
              <w:t>Calderdale Safeguarding Adults Board</w:t>
            </w:r>
          </w:p>
          <w:p w14:paraId="5D16E5DC" w14:textId="77777777" w:rsidR="004E03EE" w:rsidRPr="00033E94" w:rsidRDefault="004E03EE" w:rsidP="00C40196">
            <w:pPr>
              <w:jc w:val="center"/>
              <w:rPr>
                <w:b/>
                <w:bCs/>
                <w:sz w:val="28"/>
                <w:szCs w:val="28"/>
              </w:rPr>
            </w:pPr>
          </w:p>
          <w:p w14:paraId="527D0D53" w14:textId="5C94729E" w:rsidR="004E03EE" w:rsidRDefault="004E03EE" w:rsidP="00C40196">
            <w:pPr>
              <w:jc w:val="center"/>
            </w:pPr>
            <w:r w:rsidRPr="00033E94">
              <w:rPr>
                <w:b/>
                <w:bCs/>
                <w:sz w:val="28"/>
                <w:szCs w:val="28"/>
              </w:rPr>
              <w:t xml:space="preserve">Managing Large </w:t>
            </w:r>
            <w:r w:rsidR="004E11C1">
              <w:rPr>
                <w:b/>
                <w:bCs/>
                <w:sz w:val="28"/>
                <w:szCs w:val="28"/>
              </w:rPr>
              <w:t>S</w:t>
            </w:r>
            <w:r w:rsidRPr="00033E94">
              <w:rPr>
                <w:b/>
                <w:bCs/>
                <w:sz w:val="28"/>
                <w:szCs w:val="28"/>
              </w:rPr>
              <w:t>cale Enquiries – Escalation Process</w:t>
            </w:r>
          </w:p>
        </w:tc>
      </w:tr>
    </w:tbl>
    <w:p w14:paraId="004B0191" w14:textId="77777777" w:rsidR="004E03EE" w:rsidRPr="008B4666" w:rsidRDefault="004E03EE" w:rsidP="004E03EE">
      <w:pPr>
        <w:rPr>
          <w:rFonts w:cstheme="minorHAnsi"/>
          <w:szCs w:val="24"/>
        </w:rPr>
      </w:pPr>
    </w:p>
    <w:p w14:paraId="5887CDFF" w14:textId="145F65BA" w:rsidR="004E03EE" w:rsidRDefault="004E03EE" w:rsidP="004E03EE">
      <w:pPr>
        <w:rPr>
          <w:rFonts w:cstheme="minorHAnsi"/>
          <w:szCs w:val="24"/>
        </w:rPr>
      </w:pPr>
      <w:r w:rsidRPr="008B4666">
        <w:rPr>
          <w:rFonts w:cstheme="minorHAnsi"/>
          <w:szCs w:val="24"/>
        </w:rPr>
        <w:t xml:space="preserve">This should be used to determine what actions need to be taken in relation to serious concerns and should be signed by the Chair of whichever meeting takes the decision to escalate action. This would </w:t>
      </w:r>
      <w:r>
        <w:rPr>
          <w:rFonts w:cstheme="minorHAnsi"/>
          <w:szCs w:val="24"/>
        </w:rPr>
        <w:t>usually be the Chair</w:t>
      </w:r>
      <w:r w:rsidRPr="008B4666">
        <w:rPr>
          <w:rFonts w:cstheme="minorHAnsi"/>
          <w:szCs w:val="24"/>
        </w:rPr>
        <w:t xml:space="preserve"> of the Large Scale Enquiry </w:t>
      </w:r>
      <w:r w:rsidR="00A63CDB">
        <w:rPr>
          <w:rFonts w:cstheme="minorHAnsi"/>
          <w:szCs w:val="24"/>
        </w:rPr>
        <w:t xml:space="preserve">Multi-Agency Safeguarding </w:t>
      </w:r>
      <w:r w:rsidRPr="008B4666">
        <w:rPr>
          <w:rFonts w:cstheme="minorHAnsi"/>
          <w:szCs w:val="24"/>
        </w:rPr>
        <w:t>Meeting.</w:t>
      </w:r>
    </w:p>
    <w:p w14:paraId="6CF6A3ED" w14:textId="77777777" w:rsidR="004E03EE" w:rsidRDefault="004E03EE" w:rsidP="004E03EE">
      <w:pPr>
        <w:rPr>
          <w:rFonts w:cstheme="minorHAnsi"/>
          <w:szCs w:val="24"/>
        </w:rPr>
      </w:pPr>
    </w:p>
    <w:p w14:paraId="4CFB9FBA" w14:textId="59728241" w:rsidR="004E03EE" w:rsidRDefault="004E03EE" w:rsidP="004E03EE">
      <w:pPr>
        <w:rPr>
          <w:rFonts w:cstheme="minorHAnsi"/>
          <w:szCs w:val="24"/>
        </w:rPr>
      </w:pPr>
      <w:r>
        <w:rPr>
          <w:rFonts w:cstheme="minorHAnsi"/>
          <w:szCs w:val="24"/>
        </w:rPr>
        <w:t>This will be informed by the MDRA – Multi-Disciplinary Risk Assessment documentation and incorporated within the monthly P</w:t>
      </w:r>
      <w:r w:rsidR="004E11C1">
        <w:rPr>
          <w:rFonts w:cstheme="minorHAnsi"/>
          <w:szCs w:val="24"/>
        </w:rPr>
        <w:t xml:space="preserve">rovider </w:t>
      </w:r>
      <w:r>
        <w:rPr>
          <w:rFonts w:cstheme="minorHAnsi"/>
          <w:szCs w:val="24"/>
        </w:rPr>
        <w:t>Q</w:t>
      </w:r>
      <w:r w:rsidR="004E11C1">
        <w:rPr>
          <w:rFonts w:cstheme="minorHAnsi"/>
          <w:szCs w:val="24"/>
        </w:rPr>
        <w:t xml:space="preserve">uality </w:t>
      </w:r>
      <w:r w:rsidR="00D86BD0">
        <w:rPr>
          <w:rFonts w:cstheme="minorHAnsi"/>
          <w:szCs w:val="24"/>
        </w:rPr>
        <w:t>Monitoring and</w:t>
      </w:r>
      <w:r>
        <w:rPr>
          <w:rFonts w:cstheme="minorHAnsi"/>
          <w:szCs w:val="24"/>
        </w:rPr>
        <w:t xml:space="preserve"> LSE meetings. </w:t>
      </w:r>
    </w:p>
    <w:p w14:paraId="6C2B7A4F" w14:textId="77777777" w:rsidR="004E03EE" w:rsidRPr="008B4666" w:rsidRDefault="004E03EE" w:rsidP="004E03EE">
      <w:pPr>
        <w:rPr>
          <w:rFonts w:cstheme="minorHAnsi"/>
          <w:szCs w:val="24"/>
        </w:rPr>
      </w:pPr>
    </w:p>
    <w:tbl>
      <w:tblPr>
        <w:tblStyle w:val="TableGrid"/>
        <w:tblW w:w="0" w:type="auto"/>
        <w:tblLook w:val="04A0" w:firstRow="1" w:lastRow="0" w:firstColumn="1" w:lastColumn="0" w:noHBand="0" w:noVBand="1"/>
      </w:tblPr>
      <w:tblGrid>
        <w:gridCol w:w="3114"/>
        <w:gridCol w:w="5902"/>
      </w:tblGrid>
      <w:tr w:rsidR="004E03EE" w:rsidRPr="008B4666" w14:paraId="0670ABB8" w14:textId="77777777" w:rsidTr="00C40196">
        <w:tc>
          <w:tcPr>
            <w:tcW w:w="3114" w:type="dxa"/>
          </w:tcPr>
          <w:p w14:paraId="5B001D70" w14:textId="77777777" w:rsidR="004E03EE" w:rsidRPr="008B4666" w:rsidRDefault="004E03EE" w:rsidP="00C40196">
            <w:pPr>
              <w:rPr>
                <w:rFonts w:cstheme="minorHAnsi"/>
                <w:b/>
                <w:bCs/>
                <w:szCs w:val="24"/>
              </w:rPr>
            </w:pPr>
            <w:r w:rsidRPr="008B4666">
              <w:rPr>
                <w:rFonts w:cstheme="minorHAnsi"/>
                <w:b/>
                <w:bCs/>
                <w:szCs w:val="24"/>
              </w:rPr>
              <w:t>Name of Home / Care Provider:</w:t>
            </w:r>
          </w:p>
        </w:tc>
        <w:tc>
          <w:tcPr>
            <w:tcW w:w="5902" w:type="dxa"/>
          </w:tcPr>
          <w:p w14:paraId="2E762B87" w14:textId="77777777" w:rsidR="004E03EE" w:rsidRPr="008B4666" w:rsidRDefault="004E03EE" w:rsidP="00C40196">
            <w:pPr>
              <w:rPr>
                <w:rFonts w:cstheme="minorHAnsi"/>
                <w:szCs w:val="24"/>
              </w:rPr>
            </w:pPr>
          </w:p>
        </w:tc>
      </w:tr>
    </w:tbl>
    <w:p w14:paraId="2B7864DF" w14:textId="77777777" w:rsidR="004E03EE" w:rsidRPr="008B4666" w:rsidRDefault="004E03EE" w:rsidP="004E03EE">
      <w:pPr>
        <w:rPr>
          <w:rFonts w:cstheme="minorHAnsi"/>
          <w:szCs w:val="24"/>
        </w:rPr>
      </w:pPr>
    </w:p>
    <w:tbl>
      <w:tblPr>
        <w:tblStyle w:val="TableGrid"/>
        <w:tblW w:w="0" w:type="auto"/>
        <w:tblLook w:val="04A0" w:firstRow="1" w:lastRow="0" w:firstColumn="1" w:lastColumn="0" w:noHBand="0" w:noVBand="1"/>
      </w:tblPr>
      <w:tblGrid>
        <w:gridCol w:w="3005"/>
        <w:gridCol w:w="3005"/>
        <w:gridCol w:w="3006"/>
      </w:tblGrid>
      <w:tr w:rsidR="004E03EE" w:rsidRPr="008B4666" w14:paraId="69DDF894" w14:textId="77777777" w:rsidTr="00C40196">
        <w:tc>
          <w:tcPr>
            <w:tcW w:w="3005" w:type="dxa"/>
          </w:tcPr>
          <w:p w14:paraId="44C28D3D" w14:textId="77777777" w:rsidR="004E03EE" w:rsidRPr="008B4666" w:rsidRDefault="004E03EE" w:rsidP="00C40196">
            <w:pPr>
              <w:rPr>
                <w:rFonts w:cstheme="minorHAnsi"/>
                <w:b/>
                <w:bCs/>
                <w:szCs w:val="24"/>
              </w:rPr>
            </w:pPr>
            <w:r w:rsidRPr="008B4666">
              <w:rPr>
                <w:rFonts w:cstheme="minorHAnsi"/>
                <w:b/>
                <w:bCs/>
                <w:color w:val="00B050"/>
                <w:szCs w:val="24"/>
              </w:rPr>
              <w:t>1 GREEN</w:t>
            </w:r>
          </w:p>
        </w:tc>
        <w:tc>
          <w:tcPr>
            <w:tcW w:w="3005" w:type="dxa"/>
          </w:tcPr>
          <w:p w14:paraId="76B128E9" w14:textId="77777777" w:rsidR="004E03EE" w:rsidRPr="008B4666" w:rsidRDefault="004E03EE" w:rsidP="00C40196">
            <w:pPr>
              <w:rPr>
                <w:rFonts w:cstheme="minorHAnsi"/>
                <w:b/>
                <w:bCs/>
                <w:szCs w:val="24"/>
              </w:rPr>
            </w:pPr>
            <w:r w:rsidRPr="008B4666">
              <w:rPr>
                <w:rFonts w:cstheme="minorHAnsi"/>
                <w:b/>
                <w:bCs/>
                <w:color w:val="FFC000"/>
                <w:szCs w:val="24"/>
              </w:rPr>
              <w:t>2 AMBER</w:t>
            </w:r>
          </w:p>
        </w:tc>
        <w:tc>
          <w:tcPr>
            <w:tcW w:w="3006" w:type="dxa"/>
          </w:tcPr>
          <w:p w14:paraId="057B64FD" w14:textId="77777777" w:rsidR="004E03EE" w:rsidRPr="008B4666" w:rsidRDefault="004E03EE" w:rsidP="00C40196">
            <w:pPr>
              <w:rPr>
                <w:rFonts w:cstheme="minorHAnsi"/>
                <w:b/>
                <w:bCs/>
                <w:szCs w:val="24"/>
              </w:rPr>
            </w:pPr>
            <w:r w:rsidRPr="008B4666">
              <w:rPr>
                <w:rFonts w:cstheme="minorHAnsi"/>
                <w:b/>
                <w:bCs/>
                <w:color w:val="FF0000"/>
                <w:szCs w:val="24"/>
              </w:rPr>
              <w:t>3 RED</w:t>
            </w:r>
          </w:p>
        </w:tc>
      </w:tr>
      <w:tr w:rsidR="004E03EE" w:rsidRPr="008B4666" w14:paraId="4AD719E4" w14:textId="77777777" w:rsidTr="00C40196">
        <w:tc>
          <w:tcPr>
            <w:tcW w:w="3005" w:type="dxa"/>
          </w:tcPr>
          <w:p w14:paraId="0396283A" w14:textId="77777777" w:rsidR="004E03EE" w:rsidRPr="008B4666" w:rsidRDefault="004E03EE" w:rsidP="00C40196">
            <w:pPr>
              <w:rPr>
                <w:rFonts w:cstheme="minorHAnsi"/>
                <w:b/>
                <w:bCs/>
                <w:color w:val="00B050"/>
                <w:szCs w:val="24"/>
              </w:rPr>
            </w:pPr>
          </w:p>
          <w:p w14:paraId="3291E01C" w14:textId="77777777" w:rsidR="004E03EE" w:rsidRPr="008B4666" w:rsidRDefault="004E03EE" w:rsidP="00C40196">
            <w:pPr>
              <w:rPr>
                <w:rFonts w:cstheme="minorHAnsi"/>
                <w:b/>
                <w:bCs/>
                <w:color w:val="00B050"/>
                <w:szCs w:val="24"/>
              </w:rPr>
            </w:pPr>
            <w:r w:rsidRPr="008B4666">
              <w:rPr>
                <w:rFonts w:cstheme="minorHAnsi"/>
                <w:b/>
                <w:bCs/>
                <w:color w:val="00B050"/>
                <w:szCs w:val="24"/>
              </w:rPr>
              <w:t>Monitor and record situation via Large Scale Enquiry Meeting</w:t>
            </w:r>
          </w:p>
        </w:tc>
        <w:tc>
          <w:tcPr>
            <w:tcW w:w="3005" w:type="dxa"/>
          </w:tcPr>
          <w:p w14:paraId="214F5E00" w14:textId="77777777" w:rsidR="004E03EE" w:rsidRPr="008B4666" w:rsidRDefault="004E03EE" w:rsidP="00C40196">
            <w:pPr>
              <w:rPr>
                <w:rFonts w:cstheme="minorHAnsi"/>
                <w:szCs w:val="24"/>
              </w:rPr>
            </w:pPr>
          </w:p>
          <w:p w14:paraId="7CD5F8F1" w14:textId="77777777" w:rsidR="004E03EE" w:rsidRPr="008B4666" w:rsidRDefault="004E03EE" w:rsidP="00C40196">
            <w:pPr>
              <w:rPr>
                <w:rFonts w:cstheme="minorHAnsi"/>
                <w:b/>
                <w:bCs/>
                <w:color w:val="FFC000"/>
                <w:szCs w:val="24"/>
              </w:rPr>
            </w:pPr>
            <w:r w:rsidRPr="008B4666">
              <w:rPr>
                <w:rFonts w:cstheme="minorHAnsi"/>
                <w:b/>
                <w:bCs/>
                <w:color w:val="FFC000"/>
                <w:szCs w:val="24"/>
              </w:rPr>
              <w:t>Highlight to senior managers and monitor regularly by convening Multi-Agency Safeguarding Meeting (MASM) who should report to relevant senior managers in each agency</w:t>
            </w:r>
          </w:p>
        </w:tc>
        <w:tc>
          <w:tcPr>
            <w:tcW w:w="3006" w:type="dxa"/>
          </w:tcPr>
          <w:p w14:paraId="37BC38AD" w14:textId="77777777" w:rsidR="004E03EE" w:rsidRPr="008B4666" w:rsidRDefault="004E03EE" w:rsidP="00C40196">
            <w:pPr>
              <w:rPr>
                <w:rFonts w:cstheme="minorHAnsi"/>
                <w:b/>
                <w:bCs/>
                <w:szCs w:val="24"/>
              </w:rPr>
            </w:pPr>
            <w:r w:rsidRPr="008B4666">
              <w:rPr>
                <w:rFonts w:cstheme="minorHAnsi"/>
                <w:b/>
                <w:bCs/>
                <w:color w:val="FF0000"/>
                <w:szCs w:val="24"/>
              </w:rPr>
              <w:t>Inform senior managers in relevant organisations if immediate action / decision is required. This may require joint agency decision making. Multi-Agency Safeguarding Meeting (MASM) group may need to be convened and co-ordinate any action required</w:t>
            </w:r>
          </w:p>
        </w:tc>
      </w:tr>
    </w:tbl>
    <w:p w14:paraId="39091FE3" w14:textId="77777777" w:rsidR="004E03EE" w:rsidRPr="008B4666" w:rsidRDefault="004E03EE" w:rsidP="004E03EE">
      <w:pPr>
        <w:rPr>
          <w:rFonts w:cstheme="minorHAnsi"/>
          <w:szCs w:val="24"/>
        </w:rPr>
      </w:pPr>
    </w:p>
    <w:tbl>
      <w:tblPr>
        <w:tblStyle w:val="TableGrid"/>
        <w:tblW w:w="0" w:type="auto"/>
        <w:tblLook w:val="04A0" w:firstRow="1" w:lastRow="0" w:firstColumn="1" w:lastColumn="0" w:noHBand="0" w:noVBand="1"/>
      </w:tblPr>
      <w:tblGrid>
        <w:gridCol w:w="1934"/>
        <w:gridCol w:w="1880"/>
        <w:gridCol w:w="1864"/>
        <w:gridCol w:w="1669"/>
        <w:gridCol w:w="1669"/>
      </w:tblGrid>
      <w:tr w:rsidR="004E03EE" w:rsidRPr="008B4666" w14:paraId="2422C6C4" w14:textId="77777777" w:rsidTr="00C40196">
        <w:tc>
          <w:tcPr>
            <w:tcW w:w="1934" w:type="dxa"/>
          </w:tcPr>
          <w:p w14:paraId="2E191C0F" w14:textId="77777777" w:rsidR="004E03EE" w:rsidRPr="008B4666" w:rsidRDefault="004E03EE" w:rsidP="00C40196">
            <w:pPr>
              <w:rPr>
                <w:rFonts w:cstheme="minorHAnsi"/>
                <w:b/>
                <w:bCs/>
                <w:szCs w:val="24"/>
              </w:rPr>
            </w:pPr>
            <w:r w:rsidRPr="008B4666">
              <w:rPr>
                <w:rFonts w:cstheme="minorHAnsi"/>
                <w:b/>
                <w:bCs/>
                <w:szCs w:val="24"/>
              </w:rPr>
              <w:lastRenderedPageBreak/>
              <w:t>Escalation Triggers</w:t>
            </w:r>
          </w:p>
        </w:tc>
        <w:tc>
          <w:tcPr>
            <w:tcW w:w="1880" w:type="dxa"/>
          </w:tcPr>
          <w:p w14:paraId="14564810" w14:textId="77777777" w:rsidR="004E03EE" w:rsidRPr="008B4666" w:rsidRDefault="004E03EE" w:rsidP="00C40196">
            <w:pPr>
              <w:rPr>
                <w:rFonts w:cstheme="minorHAnsi"/>
                <w:szCs w:val="24"/>
              </w:rPr>
            </w:pPr>
            <w:r w:rsidRPr="008B4666">
              <w:rPr>
                <w:rFonts w:cstheme="minorHAnsi"/>
                <w:szCs w:val="24"/>
              </w:rPr>
              <w:t>Risk RAG rated (</w:t>
            </w:r>
            <w:r w:rsidRPr="008B4666">
              <w:rPr>
                <w:rFonts w:cstheme="minorHAnsi"/>
                <w:color w:val="00B050"/>
                <w:szCs w:val="24"/>
              </w:rPr>
              <w:t>GREEN</w:t>
            </w:r>
            <w:r w:rsidRPr="008B4666">
              <w:rPr>
                <w:rFonts w:cstheme="minorHAnsi"/>
                <w:szCs w:val="24"/>
              </w:rPr>
              <w:t xml:space="preserve">, </w:t>
            </w:r>
            <w:r w:rsidRPr="008B4666">
              <w:rPr>
                <w:rFonts w:cstheme="minorHAnsi"/>
                <w:color w:val="FFC000"/>
                <w:szCs w:val="24"/>
              </w:rPr>
              <w:t xml:space="preserve">AMBER, </w:t>
            </w:r>
            <w:r w:rsidRPr="008B4666">
              <w:rPr>
                <w:rFonts w:cstheme="minorHAnsi"/>
                <w:color w:val="FF0000"/>
                <w:szCs w:val="24"/>
              </w:rPr>
              <w:t>RED</w:t>
            </w:r>
            <w:r w:rsidRPr="008B4666">
              <w:rPr>
                <w:rFonts w:cstheme="minorHAnsi"/>
                <w:szCs w:val="24"/>
              </w:rPr>
              <w:t>)</w:t>
            </w:r>
          </w:p>
        </w:tc>
        <w:tc>
          <w:tcPr>
            <w:tcW w:w="1864" w:type="dxa"/>
          </w:tcPr>
          <w:p w14:paraId="4D1754C5" w14:textId="77777777" w:rsidR="004E03EE" w:rsidRPr="008B4666" w:rsidRDefault="004E03EE" w:rsidP="00C40196">
            <w:pPr>
              <w:rPr>
                <w:rFonts w:cstheme="minorHAnsi"/>
                <w:szCs w:val="24"/>
              </w:rPr>
            </w:pPr>
            <w:r w:rsidRPr="008B4666">
              <w:rPr>
                <w:rFonts w:cstheme="minorHAnsi"/>
                <w:szCs w:val="24"/>
              </w:rPr>
              <w:t>Impact – Provide Details</w:t>
            </w:r>
          </w:p>
        </w:tc>
        <w:tc>
          <w:tcPr>
            <w:tcW w:w="1669" w:type="dxa"/>
          </w:tcPr>
          <w:p w14:paraId="131BE3EF" w14:textId="77777777" w:rsidR="004E03EE" w:rsidRPr="008B4666" w:rsidRDefault="004E03EE" w:rsidP="00C40196">
            <w:pPr>
              <w:rPr>
                <w:rFonts w:cstheme="minorHAnsi"/>
                <w:szCs w:val="24"/>
              </w:rPr>
            </w:pPr>
            <w:r w:rsidRPr="008B4666">
              <w:rPr>
                <w:rFonts w:cstheme="minorHAnsi"/>
                <w:szCs w:val="24"/>
              </w:rPr>
              <w:t>Action Required (</w:t>
            </w:r>
            <w:r w:rsidRPr="008B4666">
              <w:rPr>
                <w:rFonts w:cstheme="minorHAnsi"/>
                <w:color w:val="00B050"/>
                <w:szCs w:val="24"/>
              </w:rPr>
              <w:t>1</w:t>
            </w:r>
            <w:r w:rsidRPr="008B4666">
              <w:rPr>
                <w:rFonts w:cstheme="minorHAnsi"/>
                <w:szCs w:val="24"/>
              </w:rPr>
              <w:t>,</w:t>
            </w:r>
            <w:r w:rsidRPr="008B4666">
              <w:rPr>
                <w:rFonts w:cstheme="minorHAnsi"/>
                <w:color w:val="FFC000"/>
                <w:szCs w:val="24"/>
              </w:rPr>
              <w:t>2</w:t>
            </w:r>
            <w:r w:rsidRPr="008B4666">
              <w:rPr>
                <w:rFonts w:cstheme="minorHAnsi"/>
                <w:szCs w:val="24"/>
              </w:rPr>
              <w:t>,</w:t>
            </w:r>
            <w:r w:rsidRPr="008B4666">
              <w:rPr>
                <w:rFonts w:cstheme="minorHAnsi"/>
                <w:color w:val="FF0000"/>
                <w:szCs w:val="24"/>
              </w:rPr>
              <w:t>3</w:t>
            </w:r>
            <w:r w:rsidRPr="008B4666">
              <w:rPr>
                <w:rFonts w:cstheme="minorHAnsi"/>
                <w:szCs w:val="24"/>
              </w:rPr>
              <w:t>)</w:t>
            </w:r>
          </w:p>
        </w:tc>
        <w:tc>
          <w:tcPr>
            <w:tcW w:w="1669" w:type="dxa"/>
          </w:tcPr>
          <w:p w14:paraId="3003FD8D" w14:textId="77777777" w:rsidR="004E03EE" w:rsidRPr="008B4666" w:rsidRDefault="004E03EE" w:rsidP="00C40196">
            <w:pPr>
              <w:rPr>
                <w:rFonts w:cstheme="minorHAnsi"/>
                <w:szCs w:val="24"/>
              </w:rPr>
            </w:pPr>
            <w:r w:rsidRPr="008B4666">
              <w:rPr>
                <w:rFonts w:cstheme="minorHAnsi"/>
                <w:szCs w:val="24"/>
              </w:rPr>
              <w:t>Action Undertaken</w:t>
            </w:r>
          </w:p>
        </w:tc>
      </w:tr>
      <w:tr w:rsidR="004E03EE" w:rsidRPr="008B4666" w14:paraId="4F9C2995" w14:textId="77777777" w:rsidTr="00C40196">
        <w:tc>
          <w:tcPr>
            <w:tcW w:w="1934" w:type="dxa"/>
          </w:tcPr>
          <w:p w14:paraId="65301E0C" w14:textId="77777777" w:rsidR="004E03EE" w:rsidRPr="008B4666" w:rsidRDefault="004E03EE" w:rsidP="00C40196">
            <w:pPr>
              <w:pStyle w:val="NoSpacing"/>
              <w:rPr>
                <w:b/>
                <w:bCs/>
                <w:i/>
                <w:iCs/>
              </w:rPr>
            </w:pPr>
            <w:r w:rsidRPr="008B4666">
              <w:rPr>
                <w:b/>
                <w:bCs/>
                <w:i/>
                <w:iCs/>
              </w:rPr>
              <w:t>Example – sudden closure of a care home</w:t>
            </w:r>
          </w:p>
        </w:tc>
        <w:tc>
          <w:tcPr>
            <w:tcW w:w="1880" w:type="dxa"/>
          </w:tcPr>
          <w:p w14:paraId="01FDB231" w14:textId="77777777" w:rsidR="004E03EE" w:rsidRPr="008B4666" w:rsidRDefault="004E03EE" w:rsidP="00C40196">
            <w:pPr>
              <w:pStyle w:val="NoSpacing"/>
            </w:pPr>
            <w:r w:rsidRPr="008B4666">
              <w:t>RED</w:t>
            </w:r>
          </w:p>
        </w:tc>
        <w:tc>
          <w:tcPr>
            <w:tcW w:w="1864" w:type="dxa"/>
          </w:tcPr>
          <w:p w14:paraId="7CA9B0A1" w14:textId="77777777" w:rsidR="004E03EE" w:rsidRPr="008B4666" w:rsidRDefault="004E03EE" w:rsidP="00C40196">
            <w:pPr>
              <w:pStyle w:val="NoSpacing"/>
            </w:pPr>
            <w:r w:rsidRPr="008B4666">
              <w:t>All service users need to be removed from the home</w:t>
            </w:r>
          </w:p>
        </w:tc>
        <w:tc>
          <w:tcPr>
            <w:tcW w:w="1669" w:type="dxa"/>
          </w:tcPr>
          <w:p w14:paraId="14E9FE7D" w14:textId="77777777" w:rsidR="004E03EE" w:rsidRPr="008B4666" w:rsidRDefault="004E03EE" w:rsidP="00C40196">
            <w:pPr>
              <w:pStyle w:val="NoSpacing"/>
            </w:pPr>
            <w:r w:rsidRPr="008B4666">
              <w:t>3</w:t>
            </w:r>
          </w:p>
        </w:tc>
        <w:tc>
          <w:tcPr>
            <w:tcW w:w="1669" w:type="dxa"/>
          </w:tcPr>
          <w:p w14:paraId="6FD4BE79" w14:textId="30542566" w:rsidR="004E03EE" w:rsidRPr="008B4666" w:rsidRDefault="004E03EE" w:rsidP="00C40196">
            <w:pPr>
              <w:pStyle w:val="NoSpacing"/>
            </w:pPr>
            <w:r w:rsidRPr="008B4666">
              <w:t xml:space="preserve">Service </w:t>
            </w:r>
            <w:r w:rsidR="005F1752" w:rsidRPr="008B4666">
              <w:t>users’</w:t>
            </w:r>
            <w:r w:rsidRPr="008B4666">
              <w:t xml:space="preserve"> needs </w:t>
            </w:r>
            <w:r w:rsidR="005F1752" w:rsidRPr="008B4666">
              <w:t>assessed,</w:t>
            </w:r>
            <w:r w:rsidRPr="008B4666">
              <w:t xml:space="preserve"> and new care home placements found</w:t>
            </w:r>
          </w:p>
        </w:tc>
      </w:tr>
      <w:tr w:rsidR="004E03EE" w:rsidRPr="008B4666" w14:paraId="0F580D00" w14:textId="77777777" w:rsidTr="00C40196">
        <w:tc>
          <w:tcPr>
            <w:tcW w:w="1934" w:type="dxa"/>
          </w:tcPr>
          <w:p w14:paraId="34F41C43" w14:textId="77777777" w:rsidR="004E03EE" w:rsidRPr="008B4666" w:rsidRDefault="004E03EE" w:rsidP="00C40196">
            <w:pPr>
              <w:pStyle w:val="NoSpacing"/>
              <w:rPr>
                <w:b/>
                <w:bCs/>
              </w:rPr>
            </w:pPr>
            <w:r w:rsidRPr="008B4666">
              <w:rPr>
                <w:b/>
                <w:bCs/>
              </w:rPr>
              <w:t>Sudden closure of care home</w:t>
            </w:r>
          </w:p>
        </w:tc>
        <w:tc>
          <w:tcPr>
            <w:tcW w:w="1880" w:type="dxa"/>
          </w:tcPr>
          <w:p w14:paraId="13ECF5BB" w14:textId="77777777" w:rsidR="004E03EE" w:rsidRPr="008B4666" w:rsidRDefault="004E03EE" w:rsidP="00C40196">
            <w:pPr>
              <w:rPr>
                <w:rFonts w:cstheme="minorHAnsi"/>
                <w:szCs w:val="24"/>
              </w:rPr>
            </w:pPr>
          </w:p>
        </w:tc>
        <w:tc>
          <w:tcPr>
            <w:tcW w:w="1864" w:type="dxa"/>
          </w:tcPr>
          <w:p w14:paraId="049BD40A" w14:textId="77777777" w:rsidR="004E03EE" w:rsidRPr="008B4666" w:rsidRDefault="004E03EE" w:rsidP="00C40196">
            <w:pPr>
              <w:rPr>
                <w:rFonts w:cstheme="minorHAnsi"/>
                <w:szCs w:val="24"/>
              </w:rPr>
            </w:pPr>
          </w:p>
        </w:tc>
        <w:tc>
          <w:tcPr>
            <w:tcW w:w="1669" w:type="dxa"/>
          </w:tcPr>
          <w:p w14:paraId="69223396" w14:textId="77777777" w:rsidR="004E03EE" w:rsidRPr="008B4666" w:rsidRDefault="004E03EE" w:rsidP="00C40196">
            <w:pPr>
              <w:rPr>
                <w:rFonts w:cstheme="minorHAnsi"/>
                <w:szCs w:val="24"/>
              </w:rPr>
            </w:pPr>
          </w:p>
        </w:tc>
        <w:tc>
          <w:tcPr>
            <w:tcW w:w="1669" w:type="dxa"/>
          </w:tcPr>
          <w:p w14:paraId="6021E4EC" w14:textId="77777777" w:rsidR="004E03EE" w:rsidRPr="008B4666" w:rsidRDefault="004E03EE" w:rsidP="00C40196">
            <w:pPr>
              <w:rPr>
                <w:rFonts w:cstheme="minorHAnsi"/>
                <w:szCs w:val="24"/>
              </w:rPr>
            </w:pPr>
          </w:p>
        </w:tc>
      </w:tr>
      <w:tr w:rsidR="004E03EE" w:rsidRPr="008B4666" w14:paraId="7EBCDC88" w14:textId="77777777" w:rsidTr="00C40196">
        <w:tc>
          <w:tcPr>
            <w:tcW w:w="1934" w:type="dxa"/>
          </w:tcPr>
          <w:p w14:paraId="3FF7759E" w14:textId="77777777" w:rsidR="004E03EE" w:rsidRPr="008B4666" w:rsidRDefault="004E03EE" w:rsidP="00C40196">
            <w:pPr>
              <w:pStyle w:val="NoSpacing"/>
              <w:rPr>
                <w:b/>
                <w:bCs/>
              </w:rPr>
            </w:pPr>
            <w:r w:rsidRPr="008B4666">
              <w:rPr>
                <w:b/>
                <w:bCs/>
              </w:rPr>
              <w:t>Serious incident causing serious harm or death</w:t>
            </w:r>
          </w:p>
        </w:tc>
        <w:tc>
          <w:tcPr>
            <w:tcW w:w="1880" w:type="dxa"/>
          </w:tcPr>
          <w:p w14:paraId="13680638" w14:textId="77777777" w:rsidR="004E03EE" w:rsidRPr="008B4666" w:rsidRDefault="004E03EE" w:rsidP="00C40196">
            <w:pPr>
              <w:rPr>
                <w:rFonts w:cstheme="minorHAnsi"/>
                <w:szCs w:val="24"/>
              </w:rPr>
            </w:pPr>
          </w:p>
        </w:tc>
        <w:tc>
          <w:tcPr>
            <w:tcW w:w="1864" w:type="dxa"/>
          </w:tcPr>
          <w:p w14:paraId="18C34154" w14:textId="77777777" w:rsidR="004E03EE" w:rsidRPr="008B4666" w:rsidRDefault="004E03EE" w:rsidP="00C40196">
            <w:pPr>
              <w:rPr>
                <w:rFonts w:cstheme="minorHAnsi"/>
                <w:szCs w:val="24"/>
              </w:rPr>
            </w:pPr>
          </w:p>
        </w:tc>
        <w:tc>
          <w:tcPr>
            <w:tcW w:w="1669" w:type="dxa"/>
          </w:tcPr>
          <w:p w14:paraId="15ADE2B9" w14:textId="77777777" w:rsidR="004E03EE" w:rsidRPr="008B4666" w:rsidRDefault="004E03EE" w:rsidP="00C40196">
            <w:pPr>
              <w:rPr>
                <w:rFonts w:cstheme="minorHAnsi"/>
                <w:szCs w:val="24"/>
              </w:rPr>
            </w:pPr>
          </w:p>
        </w:tc>
        <w:tc>
          <w:tcPr>
            <w:tcW w:w="1669" w:type="dxa"/>
          </w:tcPr>
          <w:p w14:paraId="4ADF9751" w14:textId="77777777" w:rsidR="004E03EE" w:rsidRPr="008B4666" w:rsidRDefault="004E03EE" w:rsidP="00C40196">
            <w:pPr>
              <w:rPr>
                <w:rFonts w:cstheme="minorHAnsi"/>
                <w:szCs w:val="24"/>
              </w:rPr>
            </w:pPr>
          </w:p>
        </w:tc>
      </w:tr>
      <w:tr w:rsidR="004E03EE" w:rsidRPr="008B4666" w14:paraId="77B66440" w14:textId="77777777" w:rsidTr="00C40196">
        <w:tc>
          <w:tcPr>
            <w:tcW w:w="1934" w:type="dxa"/>
          </w:tcPr>
          <w:p w14:paraId="2E655301" w14:textId="77777777" w:rsidR="004E03EE" w:rsidRPr="008B4666" w:rsidRDefault="004E03EE" w:rsidP="00C40196">
            <w:pPr>
              <w:pStyle w:val="NoSpacing"/>
              <w:rPr>
                <w:b/>
                <w:bCs/>
              </w:rPr>
            </w:pPr>
            <w:r w:rsidRPr="008B4666">
              <w:rPr>
                <w:b/>
                <w:bCs/>
              </w:rPr>
              <w:t xml:space="preserve">Provider not managing safeguarding incidents appropriately </w:t>
            </w:r>
          </w:p>
        </w:tc>
        <w:tc>
          <w:tcPr>
            <w:tcW w:w="1880" w:type="dxa"/>
          </w:tcPr>
          <w:p w14:paraId="002E221D" w14:textId="77777777" w:rsidR="004E03EE" w:rsidRPr="008B4666" w:rsidRDefault="004E03EE" w:rsidP="00C40196">
            <w:pPr>
              <w:rPr>
                <w:rFonts w:cstheme="minorHAnsi"/>
                <w:szCs w:val="24"/>
              </w:rPr>
            </w:pPr>
          </w:p>
        </w:tc>
        <w:tc>
          <w:tcPr>
            <w:tcW w:w="1864" w:type="dxa"/>
          </w:tcPr>
          <w:p w14:paraId="04DF505C" w14:textId="77777777" w:rsidR="004E03EE" w:rsidRPr="008B4666" w:rsidRDefault="004E03EE" w:rsidP="00C40196">
            <w:pPr>
              <w:rPr>
                <w:rFonts w:cstheme="minorHAnsi"/>
                <w:szCs w:val="24"/>
              </w:rPr>
            </w:pPr>
          </w:p>
        </w:tc>
        <w:tc>
          <w:tcPr>
            <w:tcW w:w="1669" w:type="dxa"/>
          </w:tcPr>
          <w:p w14:paraId="061A9824" w14:textId="77777777" w:rsidR="004E03EE" w:rsidRPr="008B4666" w:rsidRDefault="004E03EE" w:rsidP="00C40196">
            <w:pPr>
              <w:rPr>
                <w:rFonts w:cstheme="minorHAnsi"/>
                <w:szCs w:val="24"/>
              </w:rPr>
            </w:pPr>
          </w:p>
        </w:tc>
        <w:tc>
          <w:tcPr>
            <w:tcW w:w="1669" w:type="dxa"/>
          </w:tcPr>
          <w:p w14:paraId="454B6033" w14:textId="77777777" w:rsidR="004E03EE" w:rsidRPr="008B4666" w:rsidRDefault="004E03EE" w:rsidP="00C40196">
            <w:pPr>
              <w:rPr>
                <w:rFonts w:cstheme="minorHAnsi"/>
                <w:szCs w:val="24"/>
              </w:rPr>
            </w:pPr>
          </w:p>
        </w:tc>
      </w:tr>
      <w:tr w:rsidR="004E03EE" w:rsidRPr="008B4666" w14:paraId="3712E2A7" w14:textId="77777777" w:rsidTr="00C40196">
        <w:tc>
          <w:tcPr>
            <w:tcW w:w="1934" w:type="dxa"/>
          </w:tcPr>
          <w:p w14:paraId="2B30E1A3" w14:textId="77777777" w:rsidR="004E03EE" w:rsidRPr="008B4666" w:rsidRDefault="004E03EE" w:rsidP="00C40196">
            <w:pPr>
              <w:pStyle w:val="NoSpacing"/>
              <w:rPr>
                <w:b/>
                <w:bCs/>
              </w:rPr>
            </w:pPr>
            <w:r w:rsidRPr="008B4666">
              <w:rPr>
                <w:b/>
                <w:bCs/>
              </w:rPr>
              <w:t>CQC take action to begin closure process</w:t>
            </w:r>
          </w:p>
        </w:tc>
        <w:tc>
          <w:tcPr>
            <w:tcW w:w="1880" w:type="dxa"/>
          </w:tcPr>
          <w:p w14:paraId="0D4D03C2" w14:textId="77777777" w:rsidR="004E03EE" w:rsidRPr="008B4666" w:rsidRDefault="004E03EE" w:rsidP="00C40196">
            <w:pPr>
              <w:rPr>
                <w:rFonts w:cstheme="minorHAnsi"/>
                <w:szCs w:val="24"/>
              </w:rPr>
            </w:pPr>
          </w:p>
        </w:tc>
        <w:tc>
          <w:tcPr>
            <w:tcW w:w="1864" w:type="dxa"/>
          </w:tcPr>
          <w:p w14:paraId="5E95DF46" w14:textId="77777777" w:rsidR="004E03EE" w:rsidRPr="008B4666" w:rsidRDefault="004E03EE" w:rsidP="00C40196">
            <w:pPr>
              <w:rPr>
                <w:rFonts w:cstheme="minorHAnsi"/>
                <w:szCs w:val="24"/>
              </w:rPr>
            </w:pPr>
          </w:p>
        </w:tc>
        <w:tc>
          <w:tcPr>
            <w:tcW w:w="1669" w:type="dxa"/>
          </w:tcPr>
          <w:p w14:paraId="36A36A4E" w14:textId="77777777" w:rsidR="004E03EE" w:rsidRPr="008B4666" w:rsidRDefault="004E03EE" w:rsidP="00C40196">
            <w:pPr>
              <w:rPr>
                <w:rFonts w:cstheme="minorHAnsi"/>
                <w:szCs w:val="24"/>
              </w:rPr>
            </w:pPr>
          </w:p>
        </w:tc>
        <w:tc>
          <w:tcPr>
            <w:tcW w:w="1669" w:type="dxa"/>
          </w:tcPr>
          <w:p w14:paraId="3631FF10" w14:textId="77777777" w:rsidR="004E03EE" w:rsidRPr="008B4666" w:rsidRDefault="004E03EE" w:rsidP="00C40196">
            <w:pPr>
              <w:rPr>
                <w:rFonts w:cstheme="minorHAnsi"/>
                <w:szCs w:val="24"/>
              </w:rPr>
            </w:pPr>
          </w:p>
        </w:tc>
      </w:tr>
      <w:tr w:rsidR="004E03EE" w:rsidRPr="008B4666" w14:paraId="3995DA8E" w14:textId="77777777" w:rsidTr="00C40196">
        <w:tc>
          <w:tcPr>
            <w:tcW w:w="1934" w:type="dxa"/>
          </w:tcPr>
          <w:p w14:paraId="6A8DF256" w14:textId="77777777" w:rsidR="004E03EE" w:rsidRPr="008B4666" w:rsidRDefault="004E03EE" w:rsidP="00C40196">
            <w:pPr>
              <w:pStyle w:val="NoSpacing"/>
              <w:rPr>
                <w:b/>
                <w:bCs/>
              </w:rPr>
            </w:pPr>
            <w:r w:rsidRPr="008B4666">
              <w:rPr>
                <w:b/>
                <w:bCs/>
              </w:rPr>
              <w:t xml:space="preserve">Continued failure to respond to defaults </w:t>
            </w:r>
          </w:p>
        </w:tc>
        <w:tc>
          <w:tcPr>
            <w:tcW w:w="1880" w:type="dxa"/>
          </w:tcPr>
          <w:p w14:paraId="6296CCFE" w14:textId="77777777" w:rsidR="004E03EE" w:rsidRPr="008B4666" w:rsidRDefault="004E03EE" w:rsidP="00C40196">
            <w:pPr>
              <w:rPr>
                <w:rFonts w:cstheme="minorHAnsi"/>
                <w:szCs w:val="24"/>
              </w:rPr>
            </w:pPr>
          </w:p>
        </w:tc>
        <w:tc>
          <w:tcPr>
            <w:tcW w:w="1864" w:type="dxa"/>
          </w:tcPr>
          <w:p w14:paraId="4E4320DC" w14:textId="77777777" w:rsidR="004E03EE" w:rsidRPr="008B4666" w:rsidRDefault="004E03EE" w:rsidP="00C40196">
            <w:pPr>
              <w:rPr>
                <w:rFonts w:cstheme="minorHAnsi"/>
                <w:szCs w:val="24"/>
              </w:rPr>
            </w:pPr>
          </w:p>
        </w:tc>
        <w:tc>
          <w:tcPr>
            <w:tcW w:w="1669" w:type="dxa"/>
          </w:tcPr>
          <w:p w14:paraId="00508A0B" w14:textId="77777777" w:rsidR="004E03EE" w:rsidRPr="008B4666" w:rsidRDefault="004E03EE" w:rsidP="00C40196">
            <w:pPr>
              <w:rPr>
                <w:rFonts w:cstheme="minorHAnsi"/>
                <w:szCs w:val="24"/>
              </w:rPr>
            </w:pPr>
          </w:p>
        </w:tc>
        <w:tc>
          <w:tcPr>
            <w:tcW w:w="1669" w:type="dxa"/>
          </w:tcPr>
          <w:p w14:paraId="2CCC6D9D" w14:textId="77777777" w:rsidR="004E03EE" w:rsidRPr="008B4666" w:rsidRDefault="004E03EE" w:rsidP="00C40196">
            <w:pPr>
              <w:rPr>
                <w:rFonts w:cstheme="minorHAnsi"/>
                <w:szCs w:val="24"/>
              </w:rPr>
            </w:pPr>
          </w:p>
        </w:tc>
      </w:tr>
      <w:tr w:rsidR="004E03EE" w:rsidRPr="008B4666" w14:paraId="4CAEDC98" w14:textId="77777777" w:rsidTr="00C40196">
        <w:tc>
          <w:tcPr>
            <w:tcW w:w="1934" w:type="dxa"/>
          </w:tcPr>
          <w:p w14:paraId="44EE5C7E" w14:textId="77777777" w:rsidR="004E03EE" w:rsidRPr="008B4666" w:rsidRDefault="004E03EE" w:rsidP="00C40196">
            <w:pPr>
              <w:pStyle w:val="NoSpacing"/>
              <w:rPr>
                <w:b/>
                <w:bCs/>
              </w:rPr>
            </w:pPr>
            <w:r w:rsidRPr="008B4666">
              <w:rPr>
                <w:b/>
                <w:bCs/>
              </w:rPr>
              <w:t>Continued failure to respond to regulatory notices from CQC</w:t>
            </w:r>
          </w:p>
        </w:tc>
        <w:tc>
          <w:tcPr>
            <w:tcW w:w="1880" w:type="dxa"/>
          </w:tcPr>
          <w:p w14:paraId="075F1EA0" w14:textId="77777777" w:rsidR="004E03EE" w:rsidRPr="008B4666" w:rsidRDefault="004E03EE" w:rsidP="00C40196">
            <w:pPr>
              <w:rPr>
                <w:rFonts w:cstheme="minorHAnsi"/>
                <w:szCs w:val="24"/>
              </w:rPr>
            </w:pPr>
          </w:p>
        </w:tc>
        <w:tc>
          <w:tcPr>
            <w:tcW w:w="1864" w:type="dxa"/>
          </w:tcPr>
          <w:p w14:paraId="67269339" w14:textId="77777777" w:rsidR="004E03EE" w:rsidRPr="008B4666" w:rsidRDefault="004E03EE" w:rsidP="00C40196">
            <w:pPr>
              <w:rPr>
                <w:rFonts w:cstheme="minorHAnsi"/>
                <w:szCs w:val="24"/>
              </w:rPr>
            </w:pPr>
          </w:p>
        </w:tc>
        <w:tc>
          <w:tcPr>
            <w:tcW w:w="1669" w:type="dxa"/>
          </w:tcPr>
          <w:p w14:paraId="4DEAED43" w14:textId="77777777" w:rsidR="004E03EE" w:rsidRPr="008B4666" w:rsidRDefault="004E03EE" w:rsidP="00C40196">
            <w:pPr>
              <w:rPr>
                <w:rFonts w:cstheme="minorHAnsi"/>
                <w:szCs w:val="24"/>
              </w:rPr>
            </w:pPr>
          </w:p>
        </w:tc>
        <w:tc>
          <w:tcPr>
            <w:tcW w:w="1669" w:type="dxa"/>
          </w:tcPr>
          <w:p w14:paraId="489D1156" w14:textId="77777777" w:rsidR="004E03EE" w:rsidRPr="008B4666" w:rsidRDefault="004E03EE" w:rsidP="00C40196">
            <w:pPr>
              <w:rPr>
                <w:rFonts w:cstheme="minorHAnsi"/>
                <w:szCs w:val="24"/>
              </w:rPr>
            </w:pPr>
          </w:p>
        </w:tc>
      </w:tr>
      <w:tr w:rsidR="004E03EE" w:rsidRPr="008B4666" w14:paraId="18B728B3" w14:textId="77777777" w:rsidTr="00C40196">
        <w:tc>
          <w:tcPr>
            <w:tcW w:w="1934" w:type="dxa"/>
          </w:tcPr>
          <w:p w14:paraId="6B519094" w14:textId="77777777" w:rsidR="004E03EE" w:rsidRPr="008B4666" w:rsidRDefault="004E03EE" w:rsidP="00C40196">
            <w:pPr>
              <w:pStyle w:val="NoSpacing"/>
              <w:rPr>
                <w:b/>
                <w:bCs/>
              </w:rPr>
            </w:pPr>
            <w:r w:rsidRPr="008B4666">
              <w:rPr>
                <w:b/>
                <w:bCs/>
              </w:rPr>
              <w:t>Negative media coverage</w:t>
            </w:r>
          </w:p>
        </w:tc>
        <w:tc>
          <w:tcPr>
            <w:tcW w:w="1880" w:type="dxa"/>
          </w:tcPr>
          <w:p w14:paraId="3324640B" w14:textId="77777777" w:rsidR="004E03EE" w:rsidRPr="008B4666" w:rsidRDefault="004E03EE" w:rsidP="00C40196">
            <w:pPr>
              <w:rPr>
                <w:rFonts w:cstheme="minorHAnsi"/>
                <w:szCs w:val="24"/>
              </w:rPr>
            </w:pPr>
          </w:p>
        </w:tc>
        <w:tc>
          <w:tcPr>
            <w:tcW w:w="1864" w:type="dxa"/>
          </w:tcPr>
          <w:p w14:paraId="161ED197" w14:textId="77777777" w:rsidR="004E03EE" w:rsidRPr="008B4666" w:rsidRDefault="004E03EE" w:rsidP="00C40196">
            <w:pPr>
              <w:rPr>
                <w:rFonts w:cstheme="minorHAnsi"/>
                <w:szCs w:val="24"/>
              </w:rPr>
            </w:pPr>
          </w:p>
        </w:tc>
        <w:tc>
          <w:tcPr>
            <w:tcW w:w="1669" w:type="dxa"/>
          </w:tcPr>
          <w:p w14:paraId="375B4E4B" w14:textId="77777777" w:rsidR="004E03EE" w:rsidRPr="008B4666" w:rsidRDefault="004E03EE" w:rsidP="00C40196">
            <w:pPr>
              <w:rPr>
                <w:rFonts w:cstheme="minorHAnsi"/>
                <w:szCs w:val="24"/>
              </w:rPr>
            </w:pPr>
          </w:p>
        </w:tc>
        <w:tc>
          <w:tcPr>
            <w:tcW w:w="1669" w:type="dxa"/>
          </w:tcPr>
          <w:p w14:paraId="44D7752D" w14:textId="77777777" w:rsidR="004E03EE" w:rsidRPr="008B4666" w:rsidRDefault="004E03EE" w:rsidP="00C40196">
            <w:pPr>
              <w:rPr>
                <w:rFonts w:cstheme="minorHAnsi"/>
                <w:szCs w:val="24"/>
              </w:rPr>
            </w:pPr>
          </w:p>
        </w:tc>
      </w:tr>
      <w:tr w:rsidR="004E03EE" w:rsidRPr="008B4666" w14:paraId="35E2DDE8" w14:textId="77777777" w:rsidTr="00C40196">
        <w:tc>
          <w:tcPr>
            <w:tcW w:w="1934" w:type="dxa"/>
          </w:tcPr>
          <w:p w14:paraId="45A11D57" w14:textId="77777777" w:rsidR="004E03EE" w:rsidRPr="008B4666" w:rsidRDefault="004E03EE" w:rsidP="00C40196">
            <w:pPr>
              <w:pStyle w:val="NoSpacing"/>
              <w:rPr>
                <w:b/>
                <w:bCs/>
              </w:rPr>
            </w:pPr>
            <w:r w:rsidRPr="008B4666">
              <w:rPr>
                <w:b/>
                <w:bCs/>
              </w:rPr>
              <w:t>Current management arrangements not delivering</w:t>
            </w:r>
          </w:p>
        </w:tc>
        <w:tc>
          <w:tcPr>
            <w:tcW w:w="1880" w:type="dxa"/>
          </w:tcPr>
          <w:p w14:paraId="50EF62EE" w14:textId="77777777" w:rsidR="004E03EE" w:rsidRPr="008B4666" w:rsidRDefault="004E03EE" w:rsidP="00C40196">
            <w:pPr>
              <w:rPr>
                <w:rFonts w:cstheme="minorHAnsi"/>
                <w:szCs w:val="24"/>
              </w:rPr>
            </w:pPr>
          </w:p>
        </w:tc>
        <w:tc>
          <w:tcPr>
            <w:tcW w:w="1864" w:type="dxa"/>
          </w:tcPr>
          <w:p w14:paraId="0AB31384" w14:textId="77777777" w:rsidR="004E03EE" w:rsidRPr="008B4666" w:rsidRDefault="004E03EE" w:rsidP="00C40196">
            <w:pPr>
              <w:rPr>
                <w:rFonts w:cstheme="minorHAnsi"/>
                <w:szCs w:val="24"/>
              </w:rPr>
            </w:pPr>
          </w:p>
        </w:tc>
        <w:tc>
          <w:tcPr>
            <w:tcW w:w="1669" w:type="dxa"/>
          </w:tcPr>
          <w:p w14:paraId="13005445" w14:textId="77777777" w:rsidR="004E03EE" w:rsidRPr="008B4666" w:rsidRDefault="004E03EE" w:rsidP="00C40196">
            <w:pPr>
              <w:rPr>
                <w:rFonts w:cstheme="minorHAnsi"/>
                <w:szCs w:val="24"/>
              </w:rPr>
            </w:pPr>
          </w:p>
        </w:tc>
        <w:tc>
          <w:tcPr>
            <w:tcW w:w="1669" w:type="dxa"/>
          </w:tcPr>
          <w:p w14:paraId="0EADA014" w14:textId="77777777" w:rsidR="004E03EE" w:rsidRPr="008B4666" w:rsidRDefault="004E03EE" w:rsidP="00C40196">
            <w:pPr>
              <w:rPr>
                <w:rFonts w:cstheme="minorHAnsi"/>
                <w:szCs w:val="24"/>
              </w:rPr>
            </w:pPr>
          </w:p>
        </w:tc>
      </w:tr>
      <w:tr w:rsidR="004E03EE" w:rsidRPr="008B4666" w14:paraId="41FDD3D1" w14:textId="77777777" w:rsidTr="00C40196">
        <w:tc>
          <w:tcPr>
            <w:tcW w:w="1934" w:type="dxa"/>
          </w:tcPr>
          <w:p w14:paraId="5B67E16D" w14:textId="77777777" w:rsidR="004E03EE" w:rsidRPr="008B4666" w:rsidRDefault="004E03EE" w:rsidP="00C40196">
            <w:pPr>
              <w:pStyle w:val="NoSpacing"/>
              <w:rPr>
                <w:b/>
                <w:bCs/>
              </w:rPr>
            </w:pPr>
            <w:r w:rsidRPr="008B4666">
              <w:rPr>
                <w:b/>
                <w:bCs/>
              </w:rPr>
              <w:t>Evidence of a lack of financial viability at the care home</w:t>
            </w:r>
          </w:p>
        </w:tc>
        <w:tc>
          <w:tcPr>
            <w:tcW w:w="1880" w:type="dxa"/>
          </w:tcPr>
          <w:p w14:paraId="3B3FEBC3" w14:textId="77777777" w:rsidR="004E03EE" w:rsidRPr="008B4666" w:rsidRDefault="004E03EE" w:rsidP="00C40196">
            <w:pPr>
              <w:rPr>
                <w:rFonts w:cstheme="minorHAnsi"/>
                <w:szCs w:val="24"/>
              </w:rPr>
            </w:pPr>
          </w:p>
        </w:tc>
        <w:tc>
          <w:tcPr>
            <w:tcW w:w="1864" w:type="dxa"/>
          </w:tcPr>
          <w:p w14:paraId="1E447787" w14:textId="77777777" w:rsidR="004E03EE" w:rsidRPr="008B4666" w:rsidRDefault="004E03EE" w:rsidP="00C40196">
            <w:pPr>
              <w:rPr>
                <w:rFonts w:cstheme="minorHAnsi"/>
                <w:szCs w:val="24"/>
              </w:rPr>
            </w:pPr>
          </w:p>
        </w:tc>
        <w:tc>
          <w:tcPr>
            <w:tcW w:w="1669" w:type="dxa"/>
          </w:tcPr>
          <w:p w14:paraId="43AA27CC" w14:textId="77777777" w:rsidR="004E03EE" w:rsidRPr="008B4666" w:rsidRDefault="004E03EE" w:rsidP="00C40196">
            <w:pPr>
              <w:rPr>
                <w:rFonts w:cstheme="minorHAnsi"/>
                <w:szCs w:val="24"/>
              </w:rPr>
            </w:pPr>
          </w:p>
        </w:tc>
        <w:tc>
          <w:tcPr>
            <w:tcW w:w="1669" w:type="dxa"/>
          </w:tcPr>
          <w:p w14:paraId="71C587F6" w14:textId="77777777" w:rsidR="004E03EE" w:rsidRPr="008B4666" w:rsidRDefault="004E03EE" w:rsidP="00C40196">
            <w:pPr>
              <w:rPr>
                <w:rFonts w:cstheme="minorHAnsi"/>
                <w:szCs w:val="24"/>
              </w:rPr>
            </w:pPr>
          </w:p>
        </w:tc>
      </w:tr>
      <w:tr w:rsidR="004E03EE" w:rsidRPr="008B4666" w14:paraId="79C7F987" w14:textId="77777777" w:rsidTr="00C40196">
        <w:tc>
          <w:tcPr>
            <w:tcW w:w="1934" w:type="dxa"/>
          </w:tcPr>
          <w:p w14:paraId="41B3BEAF" w14:textId="77777777" w:rsidR="004E03EE" w:rsidRPr="008B4666" w:rsidRDefault="004E03EE" w:rsidP="00C40196">
            <w:pPr>
              <w:pStyle w:val="NoSpacing"/>
              <w:rPr>
                <w:b/>
                <w:bCs/>
              </w:rPr>
            </w:pPr>
            <w:r w:rsidRPr="008B4666">
              <w:rPr>
                <w:b/>
                <w:bCs/>
              </w:rPr>
              <w:t>Large Scale complaints received</w:t>
            </w:r>
          </w:p>
        </w:tc>
        <w:tc>
          <w:tcPr>
            <w:tcW w:w="1880" w:type="dxa"/>
          </w:tcPr>
          <w:p w14:paraId="27A71D89" w14:textId="77777777" w:rsidR="004E03EE" w:rsidRPr="008B4666" w:rsidRDefault="004E03EE" w:rsidP="00C40196">
            <w:pPr>
              <w:rPr>
                <w:rFonts w:cstheme="minorHAnsi"/>
                <w:szCs w:val="24"/>
              </w:rPr>
            </w:pPr>
          </w:p>
        </w:tc>
        <w:tc>
          <w:tcPr>
            <w:tcW w:w="1864" w:type="dxa"/>
          </w:tcPr>
          <w:p w14:paraId="5124E211" w14:textId="77777777" w:rsidR="004E03EE" w:rsidRPr="008B4666" w:rsidRDefault="004E03EE" w:rsidP="00C40196">
            <w:pPr>
              <w:rPr>
                <w:rFonts w:cstheme="minorHAnsi"/>
                <w:szCs w:val="24"/>
              </w:rPr>
            </w:pPr>
          </w:p>
        </w:tc>
        <w:tc>
          <w:tcPr>
            <w:tcW w:w="1669" w:type="dxa"/>
          </w:tcPr>
          <w:p w14:paraId="0F018317" w14:textId="77777777" w:rsidR="004E03EE" w:rsidRPr="008B4666" w:rsidRDefault="004E03EE" w:rsidP="00C40196">
            <w:pPr>
              <w:rPr>
                <w:rFonts w:cstheme="minorHAnsi"/>
                <w:szCs w:val="24"/>
              </w:rPr>
            </w:pPr>
          </w:p>
        </w:tc>
        <w:tc>
          <w:tcPr>
            <w:tcW w:w="1669" w:type="dxa"/>
          </w:tcPr>
          <w:p w14:paraId="480EC5D3" w14:textId="77777777" w:rsidR="004E03EE" w:rsidRPr="008B4666" w:rsidRDefault="004E03EE" w:rsidP="00C40196">
            <w:pPr>
              <w:rPr>
                <w:rFonts w:cstheme="minorHAnsi"/>
                <w:szCs w:val="24"/>
              </w:rPr>
            </w:pPr>
          </w:p>
        </w:tc>
      </w:tr>
      <w:tr w:rsidR="004E03EE" w:rsidRPr="008B4666" w14:paraId="0CE82BE5" w14:textId="77777777" w:rsidTr="00C40196">
        <w:tc>
          <w:tcPr>
            <w:tcW w:w="1934" w:type="dxa"/>
          </w:tcPr>
          <w:p w14:paraId="07BCB3FF" w14:textId="77777777" w:rsidR="004E03EE" w:rsidRPr="008B4666" w:rsidRDefault="004E03EE" w:rsidP="00C40196">
            <w:pPr>
              <w:pStyle w:val="NoSpacing"/>
              <w:rPr>
                <w:b/>
                <w:bCs/>
              </w:rPr>
            </w:pPr>
            <w:r w:rsidRPr="008B4666">
              <w:rPr>
                <w:b/>
                <w:bCs/>
              </w:rPr>
              <w:t>Care provider has not sufficient resources to meet the requirements of the clientele</w:t>
            </w:r>
          </w:p>
        </w:tc>
        <w:tc>
          <w:tcPr>
            <w:tcW w:w="1880" w:type="dxa"/>
          </w:tcPr>
          <w:p w14:paraId="6D51EC2A" w14:textId="77777777" w:rsidR="004E03EE" w:rsidRPr="008B4666" w:rsidRDefault="004E03EE" w:rsidP="00C40196">
            <w:pPr>
              <w:rPr>
                <w:rFonts w:cstheme="minorHAnsi"/>
                <w:szCs w:val="24"/>
              </w:rPr>
            </w:pPr>
          </w:p>
        </w:tc>
        <w:tc>
          <w:tcPr>
            <w:tcW w:w="1864" w:type="dxa"/>
          </w:tcPr>
          <w:p w14:paraId="7ADDFFBD" w14:textId="77777777" w:rsidR="004E03EE" w:rsidRPr="008B4666" w:rsidRDefault="004E03EE" w:rsidP="00C40196">
            <w:pPr>
              <w:rPr>
                <w:rFonts w:cstheme="minorHAnsi"/>
                <w:szCs w:val="24"/>
              </w:rPr>
            </w:pPr>
          </w:p>
        </w:tc>
        <w:tc>
          <w:tcPr>
            <w:tcW w:w="1669" w:type="dxa"/>
          </w:tcPr>
          <w:p w14:paraId="31A8F8DC" w14:textId="77777777" w:rsidR="004E03EE" w:rsidRPr="008B4666" w:rsidRDefault="004E03EE" w:rsidP="00C40196">
            <w:pPr>
              <w:rPr>
                <w:rFonts w:cstheme="minorHAnsi"/>
                <w:szCs w:val="24"/>
              </w:rPr>
            </w:pPr>
          </w:p>
        </w:tc>
        <w:tc>
          <w:tcPr>
            <w:tcW w:w="1669" w:type="dxa"/>
          </w:tcPr>
          <w:p w14:paraId="3A5FEBDC" w14:textId="77777777" w:rsidR="004E03EE" w:rsidRPr="008B4666" w:rsidRDefault="004E03EE" w:rsidP="00C40196">
            <w:pPr>
              <w:rPr>
                <w:rFonts w:cstheme="minorHAnsi"/>
                <w:szCs w:val="24"/>
              </w:rPr>
            </w:pPr>
          </w:p>
        </w:tc>
      </w:tr>
      <w:tr w:rsidR="004E03EE" w:rsidRPr="008B4666" w14:paraId="0F2E30FE" w14:textId="77777777" w:rsidTr="00C40196">
        <w:tc>
          <w:tcPr>
            <w:tcW w:w="1934" w:type="dxa"/>
          </w:tcPr>
          <w:p w14:paraId="41E8A2EB" w14:textId="77777777" w:rsidR="004E03EE" w:rsidRPr="008B4666" w:rsidRDefault="004E03EE" w:rsidP="00C40196">
            <w:pPr>
              <w:pStyle w:val="NoSpacing"/>
              <w:rPr>
                <w:b/>
                <w:bCs/>
              </w:rPr>
            </w:pPr>
            <w:r w:rsidRPr="008B4666">
              <w:rPr>
                <w:b/>
                <w:bCs/>
              </w:rPr>
              <w:t xml:space="preserve">An unplanned incident poses a serious threat to the running of the </w:t>
            </w:r>
            <w:r w:rsidRPr="008B4666">
              <w:rPr>
                <w:b/>
                <w:bCs/>
              </w:rPr>
              <w:lastRenderedPageBreak/>
              <w:t>home and its ability to meet the needs of its residents / service users</w:t>
            </w:r>
          </w:p>
        </w:tc>
        <w:tc>
          <w:tcPr>
            <w:tcW w:w="1880" w:type="dxa"/>
          </w:tcPr>
          <w:p w14:paraId="14BEEA17" w14:textId="77777777" w:rsidR="004E03EE" w:rsidRPr="008B4666" w:rsidRDefault="004E03EE" w:rsidP="00C40196">
            <w:pPr>
              <w:rPr>
                <w:rFonts w:cstheme="minorHAnsi"/>
                <w:szCs w:val="24"/>
              </w:rPr>
            </w:pPr>
          </w:p>
        </w:tc>
        <w:tc>
          <w:tcPr>
            <w:tcW w:w="1864" w:type="dxa"/>
          </w:tcPr>
          <w:p w14:paraId="7B272A3A" w14:textId="77777777" w:rsidR="004E03EE" w:rsidRPr="008B4666" w:rsidRDefault="004E03EE" w:rsidP="00C40196">
            <w:pPr>
              <w:rPr>
                <w:rFonts w:cstheme="minorHAnsi"/>
                <w:szCs w:val="24"/>
              </w:rPr>
            </w:pPr>
          </w:p>
        </w:tc>
        <w:tc>
          <w:tcPr>
            <w:tcW w:w="1669" w:type="dxa"/>
          </w:tcPr>
          <w:p w14:paraId="288BE3EA" w14:textId="77777777" w:rsidR="004E03EE" w:rsidRPr="008B4666" w:rsidRDefault="004E03EE" w:rsidP="00C40196">
            <w:pPr>
              <w:rPr>
                <w:rFonts w:cstheme="minorHAnsi"/>
                <w:szCs w:val="24"/>
              </w:rPr>
            </w:pPr>
          </w:p>
        </w:tc>
        <w:tc>
          <w:tcPr>
            <w:tcW w:w="1669" w:type="dxa"/>
          </w:tcPr>
          <w:p w14:paraId="19B350C4" w14:textId="77777777" w:rsidR="004E03EE" w:rsidRPr="008B4666" w:rsidRDefault="004E03EE" w:rsidP="00C40196">
            <w:pPr>
              <w:rPr>
                <w:rFonts w:cstheme="minorHAnsi"/>
                <w:szCs w:val="24"/>
              </w:rPr>
            </w:pPr>
          </w:p>
        </w:tc>
      </w:tr>
      <w:tr w:rsidR="004E03EE" w:rsidRPr="008B4666" w14:paraId="246328BE" w14:textId="77777777" w:rsidTr="00C40196">
        <w:tc>
          <w:tcPr>
            <w:tcW w:w="1934" w:type="dxa"/>
          </w:tcPr>
          <w:p w14:paraId="7A1A462E" w14:textId="77777777" w:rsidR="004E03EE" w:rsidRPr="008B4666" w:rsidRDefault="004E03EE" w:rsidP="00C40196">
            <w:pPr>
              <w:pStyle w:val="NoSpacing"/>
              <w:rPr>
                <w:b/>
                <w:bCs/>
              </w:rPr>
            </w:pPr>
            <w:r w:rsidRPr="008B4666">
              <w:rPr>
                <w:b/>
                <w:bCs/>
              </w:rPr>
              <w:t>Partner agencies fail to reach an agreement over what action to take</w:t>
            </w:r>
          </w:p>
        </w:tc>
        <w:tc>
          <w:tcPr>
            <w:tcW w:w="1880" w:type="dxa"/>
          </w:tcPr>
          <w:p w14:paraId="5D033E9B" w14:textId="77777777" w:rsidR="004E03EE" w:rsidRPr="008B4666" w:rsidRDefault="004E03EE" w:rsidP="00C40196">
            <w:pPr>
              <w:rPr>
                <w:rFonts w:cstheme="minorHAnsi"/>
                <w:szCs w:val="24"/>
              </w:rPr>
            </w:pPr>
          </w:p>
        </w:tc>
        <w:tc>
          <w:tcPr>
            <w:tcW w:w="1864" w:type="dxa"/>
          </w:tcPr>
          <w:p w14:paraId="6085AFBA" w14:textId="77777777" w:rsidR="004E03EE" w:rsidRPr="008B4666" w:rsidRDefault="004E03EE" w:rsidP="00C40196">
            <w:pPr>
              <w:rPr>
                <w:rFonts w:cstheme="minorHAnsi"/>
                <w:szCs w:val="24"/>
              </w:rPr>
            </w:pPr>
          </w:p>
        </w:tc>
        <w:tc>
          <w:tcPr>
            <w:tcW w:w="1669" w:type="dxa"/>
          </w:tcPr>
          <w:p w14:paraId="03B3503C" w14:textId="77777777" w:rsidR="004E03EE" w:rsidRPr="008B4666" w:rsidRDefault="004E03EE" w:rsidP="00C40196">
            <w:pPr>
              <w:rPr>
                <w:rFonts w:cstheme="minorHAnsi"/>
                <w:szCs w:val="24"/>
              </w:rPr>
            </w:pPr>
          </w:p>
        </w:tc>
        <w:tc>
          <w:tcPr>
            <w:tcW w:w="1669" w:type="dxa"/>
          </w:tcPr>
          <w:p w14:paraId="1119C339" w14:textId="77777777" w:rsidR="004E03EE" w:rsidRPr="008B4666" w:rsidRDefault="004E03EE" w:rsidP="00C40196">
            <w:pPr>
              <w:rPr>
                <w:rFonts w:cstheme="minorHAnsi"/>
                <w:szCs w:val="24"/>
              </w:rPr>
            </w:pPr>
          </w:p>
        </w:tc>
      </w:tr>
      <w:tr w:rsidR="004E03EE" w:rsidRPr="008B4666" w14:paraId="2C493226" w14:textId="77777777" w:rsidTr="00C40196">
        <w:tc>
          <w:tcPr>
            <w:tcW w:w="1934" w:type="dxa"/>
          </w:tcPr>
          <w:p w14:paraId="0B1EBBFF" w14:textId="77777777" w:rsidR="004E03EE" w:rsidRPr="008B4666" w:rsidRDefault="004E03EE" w:rsidP="00C40196">
            <w:pPr>
              <w:pStyle w:val="NoSpacing"/>
              <w:rPr>
                <w:b/>
                <w:bCs/>
              </w:rPr>
            </w:pPr>
            <w:r w:rsidRPr="008B4666">
              <w:rPr>
                <w:b/>
                <w:bCs/>
              </w:rPr>
              <w:t>Other</w:t>
            </w:r>
          </w:p>
        </w:tc>
        <w:tc>
          <w:tcPr>
            <w:tcW w:w="1880" w:type="dxa"/>
          </w:tcPr>
          <w:p w14:paraId="351ED73E" w14:textId="77777777" w:rsidR="004E03EE" w:rsidRPr="008B4666" w:rsidRDefault="004E03EE" w:rsidP="00C40196">
            <w:pPr>
              <w:rPr>
                <w:rFonts w:cstheme="minorHAnsi"/>
                <w:szCs w:val="24"/>
              </w:rPr>
            </w:pPr>
          </w:p>
        </w:tc>
        <w:tc>
          <w:tcPr>
            <w:tcW w:w="1864" w:type="dxa"/>
          </w:tcPr>
          <w:p w14:paraId="7B342270" w14:textId="77777777" w:rsidR="004E03EE" w:rsidRPr="008B4666" w:rsidRDefault="004E03EE" w:rsidP="00C40196">
            <w:pPr>
              <w:rPr>
                <w:rFonts w:cstheme="minorHAnsi"/>
                <w:szCs w:val="24"/>
              </w:rPr>
            </w:pPr>
          </w:p>
        </w:tc>
        <w:tc>
          <w:tcPr>
            <w:tcW w:w="1669" w:type="dxa"/>
          </w:tcPr>
          <w:p w14:paraId="1A1A1661" w14:textId="77777777" w:rsidR="004E03EE" w:rsidRPr="008B4666" w:rsidRDefault="004E03EE" w:rsidP="00C40196">
            <w:pPr>
              <w:rPr>
                <w:rFonts w:cstheme="minorHAnsi"/>
                <w:szCs w:val="24"/>
              </w:rPr>
            </w:pPr>
          </w:p>
        </w:tc>
        <w:tc>
          <w:tcPr>
            <w:tcW w:w="1669" w:type="dxa"/>
          </w:tcPr>
          <w:p w14:paraId="75D94C18" w14:textId="77777777" w:rsidR="004E03EE" w:rsidRPr="008B4666" w:rsidRDefault="004E03EE" w:rsidP="00C40196">
            <w:pPr>
              <w:rPr>
                <w:rFonts w:cstheme="minorHAnsi"/>
                <w:szCs w:val="24"/>
              </w:rPr>
            </w:pPr>
          </w:p>
        </w:tc>
      </w:tr>
    </w:tbl>
    <w:p w14:paraId="0F15B858" w14:textId="77777777" w:rsidR="004E03EE" w:rsidRPr="008B4666" w:rsidRDefault="004E03EE" w:rsidP="004E03EE">
      <w:pPr>
        <w:rPr>
          <w:rFonts w:cstheme="minorHAnsi"/>
          <w:szCs w:val="24"/>
        </w:rPr>
      </w:pPr>
    </w:p>
    <w:p w14:paraId="4F4DC7F5" w14:textId="4E0E4F62" w:rsidR="004E03EE" w:rsidRPr="008B4666" w:rsidRDefault="004E03EE" w:rsidP="004E03EE">
      <w:pPr>
        <w:rPr>
          <w:rFonts w:cstheme="minorHAnsi"/>
          <w:b/>
          <w:bCs/>
          <w:szCs w:val="24"/>
        </w:rPr>
      </w:pPr>
      <w:r w:rsidRPr="008B4666">
        <w:rPr>
          <w:rFonts w:cstheme="minorHAnsi"/>
          <w:b/>
          <w:bCs/>
          <w:szCs w:val="24"/>
        </w:rPr>
        <w:t>SIGNED: ……………………………………………………………………………………</w:t>
      </w:r>
      <w:r w:rsidR="005F1752" w:rsidRPr="008B4666">
        <w:rPr>
          <w:rFonts w:cstheme="minorHAnsi"/>
          <w:b/>
          <w:bCs/>
          <w:szCs w:val="24"/>
        </w:rPr>
        <w:t>…. CHAIR</w:t>
      </w:r>
    </w:p>
    <w:p w14:paraId="610FBFEA" w14:textId="77777777" w:rsidR="00325B71" w:rsidRDefault="004E03EE" w:rsidP="004E03EE">
      <w:pPr>
        <w:rPr>
          <w:rFonts w:cstheme="minorHAnsi"/>
          <w:b/>
          <w:bCs/>
          <w:szCs w:val="24"/>
        </w:rPr>
        <w:sectPr w:rsidR="00325B71" w:rsidSect="00813C71">
          <w:pgSz w:w="11906" w:h="16838"/>
          <w:pgMar w:top="1440" w:right="1440" w:bottom="1440" w:left="1440" w:header="708" w:footer="708" w:gutter="0"/>
          <w:cols w:space="708"/>
          <w:docGrid w:linePitch="360"/>
        </w:sectPr>
      </w:pPr>
      <w:r w:rsidRPr="008B4666">
        <w:rPr>
          <w:rFonts w:cstheme="minorHAnsi"/>
          <w:b/>
          <w:bCs/>
          <w:szCs w:val="24"/>
        </w:rPr>
        <w:t>DATE: ………………………………………………………………………………………</w:t>
      </w:r>
    </w:p>
    <w:p w14:paraId="75FCE07C" w14:textId="77777777" w:rsidR="004E03EE" w:rsidRPr="008B4666" w:rsidRDefault="004E03EE" w:rsidP="004E03EE">
      <w:pPr>
        <w:rPr>
          <w:rFonts w:cstheme="minorHAnsi"/>
          <w:b/>
          <w:bCs/>
          <w:szCs w:val="24"/>
        </w:rPr>
      </w:pPr>
    </w:p>
    <w:p w14:paraId="65F77A3E" w14:textId="202F1EE7" w:rsidR="00325B71" w:rsidRDefault="00325B71" w:rsidP="00325B71">
      <w:pPr>
        <w:pStyle w:val="Heading2"/>
        <w:numPr>
          <w:ilvl w:val="0"/>
          <w:numId w:val="0"/>
        </w:numPr>
        <w:ind w:left="284" w:hanging="284"/>
        <w:rPr>
          <w:bCs/>
        </w:rPr>
      </w:pPr>
      <w:bookmarkStart w:id="70" w:name="_Toc157067032"/>
      <w:r>
        <w:t xml:space="preserve">Appendix 7: </w:t>
      </w:r>
      <w:r w:rsidR="004E03EE" w:rsidRPr="008B4666">
        <w:rPr>
          <w:bCs/>
        </w:rPr>
        <w:t>Large Scale Enquiry Risk Analysis</w:t>
      </w:r>
      <w:bookmarkEnd w:id="70"/>
    </w:p>
    <w:p w14:paraId="1AE146B1" w14:textId="009EC4FB" w:rsidR="004E03EE" w:rsidRPr="008B4666" w:rsidRDefault="004E03EE" w:rsidP="00325B71">
      <w:r w:rsidRPr="008B4666">
        <w:t>The Following Actions must be undertaken following the completion of the escalation document:</w:t>
      </w:r>
    </w:p>
    <w:tbl>
      <w:tblPr>
        <w:tblStyle w:val="TableGrid"/>
        <w:tblW w:w="0" w:type="auto"/>
        <w:tblLook w:val="04A0" w:firstRow="1" w:lastRow="0" w:firstColumn="1" w:lastColumn="0" w:noHBand="0" w:noVBand="1"/>
      </w:tblPr>
      <w:tblGrid>
        <w:gridCol w:w="9016"/>
      </w:tblGrid>
      <w:tr w:rsidR="004E03EE" w:rsidRPr="008B4666" w14:paraId="333E39FA" w14:textId="77777777" w:rsidTr="00C40196">
        <w:tc>
          <w:tcPr>
            <w:tcW w:w="9016" w:type="dxa"/>
            <w:shd w:val="clear" w:color="auto" w:fill="70AD47" w:themeFill="accent6"/>
          </w:tcPr>
          <w:p w14:paraId="4F61B364" w14:textId="77777777" w:rsidR="004E03EE" w:rsidRPr="008B4666" w:rsidRDefault="004E03EE" w:rsidP="00C40196">
            <w:pPr>
              <w:rPr>
                <w:rFonts w:cstheme="minorHAnsi"/>
                <w:b/>
                <w:bCs/>
                <w:szCs w:val="24"/>
              </w:rPr>
            </w:pPr>
            <w:r w:rsidRPr="008B4666">
              <w:rPr>
                <w:rFonts w:cstheme="minorHAnsi"/>
                <w:b/>
                <w:bCs/>
                <w:szCs w:val="24"/>
              </w:rPr>
              <w:t>Green - Low Risk</w:t>
            </w:r>
          </w:p>
          <w:p w14:paraId="722BE66B" w14:textId="77777777" w:rsidR="004E03EE" w:rsidRPr="008B4666" w:rsidRDefault="004E03EE" w:rsidP="00C40196">
            <w:pPr>
              <w:rPr>
                <w:rFonts w:cstheme="minorHAnsi"/>
                <w:b/>
                <w:bCs/>
                <w:szCs w:val="24"/>
              </w:rPr>
            </w:pPr>
          </w:p>
          <w:p w14:paraId="19338C5D" w14:textId="77777777" w:rsidR="004E03EE" w:rsidRPr="008B4666" w:rsidRDefault="004E03EE" w:rsidP="00C40196">
            <w:pPr>
              <w:rPr>
                <w:rFonts w:cstheme="minorHAnsi"/>
                <w:b/>
                <w:bCs/>
                <w:szCs w:val="24"/>
              </w:rPr>
            </w:pPr>
            <w:r w:rsidRPr="008B4666">
              <w:rPr>
                <w:rFonts w:cstheme="minorHAnsi"/>
                <w:b/>
                <w:bCs/>
                <w:szCs w:val="24"/>
              </w:rPr>
              <w:t>Enquiry proceeds and concludes satisfactorily in line with Multi-Agency procedures or risks indicate no escalation required.</w:t>
            </w:r>
          </w:p>
          <w:p w14:paraId="699C7811" w14:textId="77777777" w:rsidR="004E03EE" w:rsidRPr="008B4666" w:rsidRDefault="004E03EE" w:rsidP="00C40196">
            <w:pPr>
              <w:rPr>
                <w:rFonts w:cstheme="minorHAnsi"/>
                <w:b/>
                <w:bCs/>
                <w:szCs w:val="24"/>
              </w:rPr>
            </w:pPr>
          </w:p>
          <w:p w14:paraId="32B70B6E" w14:textId="77777777" w:rsidR="004E03EE" w:rsidRPr="008B4666" w:rsidRDefault="004E03EE" w:rsidP="00C40196">
            <w:pPr>
              <w:rPr>
                <w:rFonts w:cstheme="minorHAnsi"/>
              </w:rPr>
            </w:pPr>
            <w:r w:rsidRPr="008B4666">
              <w:rPr>
                <w:rFonts w:cstheme="minorHAnsi"/>
                <w:b/>
                <w:bCs/>
                <w:szCs w:val="24"/>
              </w:rPr>
              <w:t>Senior Managers within relevant agencies informed.</w:t>
            </w:r>
          </w:p>
        </w:tc>
      </w:tr>
      <w:tr w:rsidR="004E03EE" w:rsidRPr="008B4666" w14:paraId="209E38FE" w14:textId="77777777" w:rsidTr="00C40196">
        <w:tc>
          <w:tcPr>
            <w:tcW w:w="9016" w:type="dxa"/>
            <w:shd w:val="clear" w:color="auto" w:fill="FFC000"/>
          </w:tcPr>
          <w:p w14:paraId="7542FC71" w14:textId="77777777" w:rsidR="004E03EE" w:rsidRPr="008B4666" w:rsidRDefault="004E03EE" w:rsidP="00C40196">
            <w:pPr>
              <w:rPr>
                <w:rFonts w:cstheme="minorHAnsi"/>
                <w:b/>
                <w:bCs/>
                <w:szCs w:val="24"/>
              </w:rPr>
            </w:pPr>
            <w:r w:rsidRPr="008B4666">
              <w:rPr>
                <w:rFonts w:cstheme="minorHAnsi"/>
                <w:b/>
                <w:bCs/>
                <w:szCs w:val="24"/>
              </w:rPr>
              <w:t>Amber – Medium Risk</w:t>
            </w:r>
          </w:p>
          <w:p w14:paraId="25DB65FA" w14:textId="77777777" w:rsidR="004E03EE" w:rsidRPr="008B4666" w:rsidRDefault="004E03EE" w:rsidP="00C40196">
            <w:pPr>
              <w:rPr>
                <w:rFonts w:cstheme="minorHAnsi"/>
                <w:b/>
                <w:bCs/>
                <w:szCs w:val="24"/>
              </w:rPr>
            </w:pPr>
          </w:p>
          <w:p w14:paraId="6CE3E316" w14:textId="77777777" w:rsidR="004E03EE" w:rsidRPr="008B4666" w:rsidRDefault="004E03EE" w:rsidP="00C40196">
            <w:pPr>
              <w:rPr>
                <w:rFonts w:cstheme="minorHAnsi"/>
                <w:b/>
                <w:bCs/>
                <w:szCs w:val="24"/>
              </w:rPr>
            </w:pPr>
            <w:r w:rsidRPr="008B4666">
              <w:rPr>
                <w:rFonts w:cstheme="minorHAnsi"/>
                <w:b/>
                <w:bCs/>
                <w:szCs w:val="24"/>
              </w:rPr>
              <w:t>Multi-Agency meeting convened, Chaired by Senior Representative from relevant partner agencies.</w:t>
            </w:r>
          </w:p>
          <w:p w14:paraId="7D8BB6D4" w14:textId="77777777" w:rsidR="004E03EE" w:rsidRPr="008B4666" w:rsidRDefault="004E03EE" w:rsidP="00C40196">
            <w:pPr>
              <w:rPr>
                <w:rFonts w:cstheme="minorHAnsi"/>
                <w:b/>
                <w:bCs/>
                <w:szCs w:val="24"/>
              </w:rPr>
            </w:pPr>
          </w:p>
          <w:p w14:paraId="73F1DC52" w14:textId="77777777" w:rsidR="004E03EE" w:rsidRPr="008B4666" w:rsidRDefault="004E03EE" w:rsidP="00C40196">
            <w:pPr>
              <w:rPr>
                <w:rFonts w:cstheme="minorHAnsi"/>
                <w:b/>
                <w:bCs/>
                <w:szCs w:val="24"/>
              </w:rPr>
            </w:pPr>
            <w:r w:rsidRPr="008B4666">
              <w:rPr>
                <w:rFonts w:cstheme="minorHAnsi"/>
                <w:b/>
                <w:bCs/>
                <w:szCs w:val="24"/>
              </w:rPr>
              <w:t>LSE process monitored and representatives from the meeting report to Senior Management. Risk status to be reviewed at each meeting.</w:t>
            </w:r>
          </w:p>
        </w:tc>
      </w:tr>
      <w:tr w:rsidR="004E03EE" w:rsidRPr="008B4666" w14:paraId="046B4BC6" w14:textId="77777777" w:rsidTr="00C40196">
        <w:tc>
          <w:tcPr>
            <w:tcW w:w="9016" w:type="dxa"/>
            <w:shd w:val="clear" w:color="auto" w:fill="FF0000"/>
          </w:tcPr>
          <w:p w14:paraId="70FD1DD8" w14:textId="77777777" w:rsidR="004E03EE" w:rsidRPr="008B4666" w:rsidRDefault="004E03EE" w:rsidP="00C40196">
            <w:pPr>
              <w:rPr>
                <w:rFonts w:cstheme="minorHAnsi"/>
                <w:b/>
                <w:bCs/>
                <w:szCs w:val="24"/>
              </w:rPr>
            </w:pPr>
            <w:r w:rsidRPr="008B4666">
              <w:rPr>
                <w:rFonts w:cstheme="minorHAnsi"/>
                <w:b/>
                <w:bCs/>
                <w:szCs w:val="24"/>
              </w:rPr>
              <w:t>Red – High Risk</w:t>
            </w:r>
          </w:p>
          <w:p w14:paraId="396EE2CD" w14:textId="77777777" w:rsidR="004E03EE" w:rsidRPr="008B4666" w:rsidRDefault="004E03EE" w:rsidP="00C40196">
            <w:pPr>
              <w:rPr>
                <w:rFonts w:cstheme="minorHAnsi"/>
                <w:b/>
                <w:bCs/>
                <w:szCs w:val="24"/>
              </w:rPr>
            </w:pPr>
          </w:p>
          <w:p w14:paraId="6DFFABB6" w14:textId="77777777" w:rsidR="004E03EE" w:rsidRPr="008B4666" w:rsidRDefault="004E03EE" w:rsidP="00C40196">
            <w:pPr>
              <w:rPr>
                <w:rFonts w:cstheme="minorHAnsi"/>
                <w:b/>
                <w:bCs/>
                <w:szCs w:val="24"/>
              </w:rPr>
            </w:pPr>
            <w:r w:rsidRPr="008B4666">
              <w:rPr>
                <w:rFonts w:cstheme="minorHAnsi"/>
                <w:b/>
                <w:bCs/>
                <w:szCs w:val="24"/>
              </w:rPr>
              <w:t>Immediate action and decisions required from Senior Managers – this may require Joint-Agency decision making. Multi-Agency Safeguarding Meeting (MASM) convened as required to co-ordinate action. Risk status to be reviewed at each meeting.</w:t>
            </w:r>
          </w:p>
        </w:tc>
      </w:tr>
      <w:bookmarkEnd w:id="52"/>
      <w:bookmarkEnd w:id="64"/>
      <w:bookmarkEnd w:id="65"/>
    </w:tbl>
    <w:p w14:paraId="36824A57" w14:textId="77777777" w:rsidR="00325B71" w:rsidRDefault="00325B71" w:rsidP="00DB5161">
      <w:pPr>
        <w:spacing w:after="10" w:line="254" w:lineRule="auto"/>
        <w:ind w:right="75"/>
        <w:rPr>
          <w:rFonts w:ascii="Calibri" w:eastAsia="Calibri" w:hAnsi="Calibri" w:cs="Calibri"/>
          <w:b/>
          <w:bCs/>
        </w:rPr>
        <w:sectPr w:rsidR="00325B71" w:rsidSect="00813C71">
          <w:type w:val="continuous"/>
          <w:pgSz w:w="11906" w:h="16838"/>
          <w:pgMar w:top="1440" w:right="1440" w:bottom="1440" w:left="1440" w:header="708" w:footer="708" w:gutter="0"/>
          <w:cols w:space="708"/>
          <w:docGrid w:linePitch="360"/>
        </w:sectPr>
      </w:pPr>
    </w:p>
    <w:p w14:paraId="6AA822E7" w14:textId="0B4B0BF0" w:rsidR="00B33EB0" w:rsidRDefault="00437162" w:rsidP="00325B71">
      <w:pPr>
        <w:pStyle w:val="Heading2"/>
        <w:numPr>
          <w:ilvl w:val="0"/>
          <w:numId w:val="0"/>
        </w:numPr>
        <w:ind w:left="284" w:hanging="284"/>
      </w:pPr>
      <w:bookmarkStart w:id="71" w:name="_Toc157067033"/>
      <w:r>
        <w:t>Appendix 8: Home Closure Checklist</w:t>
      </w:r>
      <w:bookmarkEnd w:id="71"/>
    </w:p>
    <w:p w14:paraId="3B5E9EE8" w14:textId="3F6AB988" w:rsidR="00437162" w:rsidRDefault="00713E8F" w:rsidP="00DB5161">
      <w:pPr>
        <w:spacing w:after="10" w:line="254" w:lineRule="auto"/>
        <w:ind w:right="75"/>
      </w:pPr>
      <w:r>
        <w:object w:dxaOrig="1311" w:dyaOrig="849" w14:anchorId="56C0B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42.6pt" o:ole="">
            <v:imagedata r:id="rId27" o:title=""/>
          </v:shape>
          <o:OLEObject Type="Embed" ProgID="Excel.Sheet.12" ShapeID="_x0000_i1025" DrawAspect="Icon" ObjectID="_1769264120" r:id="rId28"/>
        </w:object>
      </w:r>
    </w:p>
    <w:p w14:paraId="00C0F8C5" w14:textId="77777777" w:rsidR="00325B71" w:rsidRDefault="00325B71" w:rsidP="00DB5161">
      <w:pPr>
        <w:spacing w:after="10" w:line="254" w:lineRule="auto"/>
        <w:ind w:right="75"/>
        <w:rPr>
          <w:rFonts w:ascii="Calibri" w:eastAsia="Calibri" w:hAnsi="Calibri" w:cs="Calibri"/>
          <w:b/>
          <w:bCs/>
        </w:rPr>
        <w:sectPr w:rsidR="00325B71" w:rsidSect="00813C71">
          <w:type w:val="continuous"/>
          <w:pgSz w:w="11906" w:h="16838"/>
          <w:pgMar w:top="1440" w:right="1440" w:bottom="1440" w:left="1440" w:header="708" w:footer="708" w:gutter="0"/>
          <w:cols w:space="708"/>
          <w:docGrid w:linePitch="360"/>
        </w:sectPr>
      </w:pPr>
    </w:p>
    <w:p w14:paraId="3D084048" w14:textId="0A54C3CC" w:rsidR="00325B71" w:rsidRPr="00325B71" w:rsidRDefault="00325B71" w:rsidP="00325B71">
      <w:pPr>
        <w:pStyle w:val="Heading2"/>
        <w:numPr>
          <w:ilvl w:val="0"/>
          <w:numId w:val="0"/>
        </w:numPr>
        <w:ind w:left="284" w:hanging="284"/>
      </w:pPr>
      <w:bookmarkStart w:id="72" w:name="_Toc157067034"/>
      <w:r>
        <w:lastRenderedPageBreak/>
        <w:t xml:space="preserve">Appendix 9: </w:t>
      </w:r>
      <w:r w:rsidRPr="00325B71">
        <w:t>Multi-agency LSE Debrief and Learning meeting format.</w:t>
      </w:r>
      <w:bookmarkEnd w:id="72"/>
    </w:p>
    <w:p w14:paraId="3BF38471" w14:textId="77777777" w:rsidR="00325B71" w:rsidRDefault="00325B71" w:rsidP="00325B71">
      <w:pPr>
        <w:pStyle w:val="ListParagraph"/>
        <w:numPr>
          <w:ilvl w:val="0"/>
          <w:numId w:val="41"/>
        </w:numPr>
        <w:spacing w:line="256" w:lineRule="auto"/>
      </w:pPr>
      <w:r>
        <w:t xml:space="preserve">Recap of the case </w:t>
      </w:r>
    </w:p>
    <w:p w14:paraId="082CBF71" w14:textId="77777777" w:rsidR="00325B71" w:rsidRDefault="00325B71" w:rsidP="00325B71">
      <w:pPr>
        <w:pStyle w:val="ListParagraph"/>
        <w:numPr>
          <w:ilvl w:val="1"/>
          <w:numId w:val="41"/>
        </w:numPr>
        <w:spacing w:line="256" w:lineRule="auto"/>
      </w:pPr>
      <w:r>
        <w:t>The circumstances leading to a decision to conduct a LSE</w:t>
      </w:r>
    </w:p>
    <w:p w14:paraId="37B9041B" w14:textId="77777777" w:rsidR="00325B71" w:rsidRDefault="00325B71" w:rsidP="00325B71">
      <w:pPr>
        <w:pStyle w:val="ListParagraph"/>
        <w:numPr>
          <w:ilvl w:val="1"/>
          <w:numId w:val="41"/>
        </w:numPr>
        <w:spacing w:line="256" w:lineRule="auto"/>
      </w:pPr>
      <w:r>
        <w:t>Key issues</w:t>
      </w:r>
    </w:p>
    <w:p w14:paraId="4FDF402C" w14:textId="77777777" w:rsidR="00325B71" w:rsidRDefault="00325B71" w:rsidP="00325B71">
      <w:pPr>
        <w:pStyle w:val="ListParagraph"/>
        <w:numPr>
          <w:ilvl w:val="0"/>
          <w:numId w:val="41"/>
        </w:numPr>
        <w:spacing w:line="256" w:lineRule="auto"/>
      </w:pPr>
      <w:r>
        <w:t>What went well?</w:t>
      </w:r>
    </w:p>
    <w:p w14:paraId="42ADB2F3" w14:textId="77777777" w:rsidR="00325B71" w:rsidRDefault="00325B71" w:rsidP="00325B71">
      <w:pPr>
        <w:pStyle w:val="ListParagraph"/>
        <w:numPr>
          <w:ilvl w:val="0"/>
          <w:numId w:val="41"/>
        </w:numPr>
        <w:spacing w:line="256" w:lineRule="auto"/>
      </w:pPr>
      <w:r>
        <w:t xml:space="preserve">What have we learned? </w:t>
      </w:r>
    </w:p>
    <w:p w14:paraId="1CB6DB63" w14:textId="77777777" w:rsidR="00325B71" w:rsidRDefault="00325B71" w:rsidP="00325B71">
      <w:pPr>
        <w:pStyle w:val="ListParagraph"/>
        <w:numPr>
          <w:ilvl w:val="0"/>
          <w:numId w:val="41"/>
        </w:numPr>
        <w:spacing w:line="256" w:lineRule="auto"/>
      </w:pPr>
      <w:r>
        <w:t xml:space="preserve">What have service users and their significant others told us about this case and how has the learning been embedded? </w:t>
      </w:r>
    </w:p>
    <w:p w14:paraId="2E0B26E7" w14:textId="77777777" w:rsidR="00325B71" w:rsidRDefault="00325B71" w:rsidP="00325B71">
      <w:pPr>
        <w:pStyle w:val="ListParagraph"/>
        <w:numPr>
          <w:ilvl w:val="0"/>
          <w:numId w:val="41"/>
        </w:numPr>
        <w:spacing w:line="256" w:lineRule="auto"/>
      </w:pPr>
      <w:r>
        <w:t xml:space="preserve">What was the impact on staff (both staff in the organisation subject to the LSE and staff who were part of the LSE response) and the environment and how was this managed? What was the learning? </w:t>
      </w:r>
    </w:p>
    <w:p w14:paraId="7CE03FC2" w14:textId="77777777" w:rsidR="00325B71" w:rsidRDefault="00325B71" w:rsidP="00325B71">
      <w:pPr>
        <w:pStyle w:val="ListParagraph"/>
        <w:numPr>
          <w:ilvl w:val="0"/>
          <w:numId w:val="41"/>
        </w:numPr>
        <w:spacing w:line="256" w:lineRule="auto"/>
      </w:pPr>
      <w:r>
        <w:t xml:space="preserve">How will learning from the case be disseminated? </w:t>
      </w:r>
    </w:p>
    <w:p w14:paraId="41FAFF7F" w14:textId="77777777" w:rsidR="00325B71" w:rsidRDefault="00325B71" w:rsidP="00325B71">
      <w:pPr>
        <w:pStyle w:val="ListParagraph"/>
        <w:numPr>
          <w:ilvl w:val="0"/>
          <w:numId w:val="41"/>
        </w:numPr>
        <w:spacing w:line="256" w:lineRule="auto"/>
      </w:pPr>
      <w:r>
        <w:t>What changes do we need to policy &amp; procedures?</w:t>
      </w:r>
    </w:p>
    <w:p w14:paraId="55287517" w14:textId="26C54A37" w:rsidR="00325B71" w:rsidRDefault="00325B71" w:rsidP="00325B71">
      <w:pPr>
        <w:pStyle w:val="ListParagraph"/>
        <w:numPr>
          <w:ilvl w:val="0"/>
          <w:numId w:val="41"/>
        </w:numPr>
        <w:spacing w:line="256" w:lineRule="auto"/>
      </w:pPr>
      <w:r>
        <w:t>Was a SAR considered and what was the outcome / learning?</w:t>
      </w:r>
    </w:p>
    <w:sectPr w:rsidR="00325B71" w:rsidSect="00813C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2961" w14:textId="77777777" w:rsidR="00813C71" w:rsidRDefault="00813C71" w:rsidP="004E03EE">
      <w:pPr>
        <w:spacing w:after="0" w:line="240" w:lineRule="auto"/>
      </w:pPr>
      <w:r>
        <w:separator/>
      </w:r>
    </w:p>
  </w:endnote>
  <w:endnote w:type="continuationSeparator" w:id="0">
    <w:p w14:paraId="37CEE21F" w14:textId="77777777" w:rsidR="00813C71" w:rsidRDefault="00813C71" w:rsidP="004E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067935"/>
      <w:docPartObj>
        <w:docPartGallery w:val="Page Numbers (Bottom of Page)"/>
        <w:docPartUnique/>
      </w:docPartObj>
    </w:sdtPr>
    <w:sdtContent>
      <w:p w14:paraId="55A3EB23" w14:textId="38BC25A5" w:rsidR="00FA514A" w:rsidRDefault="00FA514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A663" w14:textId="77777777" w:rsidR="00813C71" w:rsidRDefault="00813C71" w:rsidP="004E03EE">
      <w:pPr>
        <w:spacing w:after="0" w:line="240" w:lineRule="auto"/>
      </w:pPr>
      <w:r>
        <w:separator/>
      </w:r>
    </w:p>
  </w:footnote>
  <w:footnote w:type="continuationSeparator" w:id="0">
    <w:p w14:paraId="57594FC4" w14:textId="77777777" w:rsidR="00813C71" w:rsidRDefault="00813C71" w:rsidP="004E0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798"/>
    <w:multiLevelType w:val="hybridMultilevel"/>
    <w:tmpl w:val="EABE061C"/>
    <w:lvl w:ilvl="0" w:tplc="D586EE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54DBE"/>
    <w:multiLevelType w:val="hybridMultilevel"/>
    <w:tmpl w:val="56EE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85A2D"/>
    <w:multiLevelType w:val="hybridMultilevel"/>
    <w:tmpl w:val="6E784CD2"/>
    <w:lvl w:ilvl="0" w:tplc="0809000B">
      <w:start w:val="1"/>
      <w:numFmt w:val="bullet"/>
      <w:lvlText w:val=""/>
      <w:lvlJc w:val="left"/>
      <w:pPr>
        <w:ind w:left="825" w:hanging="360"/>
      </w:pPr>
      <w:rPr>
        <w:rFonts w:ascii="Wingdings" w:hAnsi="Wingdings"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07EF0E57"/>
    <w:multiLevelType w:val="hybridMultilevel"/>
    <w:tmpl w:val="05BC4782"/>
    <w:lvl w:ilvl="0" w:tplc="0809000B">
      <w:start w:val="1"/>
      <w:numFmt w:val="bullet"/>
      <w:lvlText w:val=""/>
      <w:lvlJc w:val="left"/>
      <w:pPr>
        <w:ind w:left="840" w:hanging="360"/>
      </w:pPr>
      <w:rPr>
        <w:rFonts w:ascii="Wingdings" w:hAnsi="Wingding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4" w15:restartNumberingAfterBreak="0">
    <w:nsid w:val="0A6A3323"/>
    <w:multiLevelType w:val="hybridMultilevel"/>
    <w:tmpl w:val="1C4ABCB2"/>
    <w:lvl w:ilvl="0" w:tplc="08090001">
      <w:start w:val="1"/>
      <w:numFmt w:val="bullet"/>
      <w:lvlText w:val=""/>
      <w:lvlJc w:val="left"/>
      <w:pPr>
        <w:ind w:left="1803" w:hanging="360"/>
      </w:pPr>
      <w:rPr>
        <w:rFonts w:ascii="Symbol" w:hAnsi="Symbol" w:hint="default"/>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5" w15:restartNumberingAfterBreak="0">
    <w:nsid w:val="0A8E10D0"/>
    <w:multiLevelType w:val="multilevel"/>
    <w:tmpl w:val="41AA8B9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15AF7E73"/>
    <w:multiLevelType w:val="hybridMultilevel"/>
    <w:tmpl w:val="4B58053C"/>
    <w:lvl w:ilvl="0" w:tplc="0B249FA0">
      <w:start w:val="2"/>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F459D1"/>
    <w:multiLevelType w:val="hybridMultilevel"/>
    <w:tmpl w:val="F53A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A2C85"/>
    <w:multiLevelType w:val="multilevel"/>
    <w:tmpl w:val="D07008E6"/>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1BE37DB6"/>
    <w:multiLevelType w:val="multilevel"/>
    <w:tmpl w:val="453C7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0461CA"/>
    <w:multiLevelType w:val="hybridMultilevel"/>
    <w:tmpl w:val="79B21F08"/>
    <w:lvl w:ilvl="0" w:tplc="0809000B">
      <w:start w:val="1"/>
      <w:numFmt w:val="bullet"/>
      <w:lvlText w:val=""/>
      <w:lvlJc w:val="left"/>
      <w:pPr>
        <w:ind w:left="46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D80F3C"/>
    <w:multiLevelType w:val="multilevel"/>
    <w:tmpl w:val="A462EAB6"/>
    <w:lvl w:ilvl="0">
      <w:start w:val="1"/>
      <w:numFmt w:val="decimal"/>
      <w:pStyle w:val="Heading2"/>
      <w:lvlText w:val="%1."/>
      <w:lvlJc w:val="left"/>
      <w:pPr>
        <w:ind w:left="1440" w:hanging="360"/>
      </w:pPr>
    </w:lvl>
    <w:lvl w:ilvl="1">
      <w:start w:val="1"/>
      <w:numFmt w:val="decimal"/>
      <w:pStyle w:val="Heading3"/>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2BED5D3D"/>
    <w:multiLevelType w:val="hybridMultilevel"/>
    <w:tmpl w:val="84B69A6A"/>
    <w:lvl w:ilvl="0" w:tplc="85384BA4">
      <w:start w:val="1"/>
      <w:numFmt w:val="bullet"/>
      <w:lvlText w:val="•"/>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50B7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7E1C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1A45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6435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FE367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D22A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86A9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68E2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C13353"/>
    <w:multiLevelType w:val="hybridMultilevel"/>
    <w:tmpl w:val="4980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632FE"/>
    <w:multiLevelType w:val="hybridMultilevel"/>
    <w:tmpl w:val="8CDC6B2A"/>
    <w:lvl w:ilvl="0" w:tplc="61DA3E8C">
      <w:start w:val="1"/>
      <w:numFmt w:val="decimal"/>
      <w:lvlText w:val="%1."/>
      <w:lvlJc w:val="left"/>
      <w:pPr>
        <w:ind w:left="720" w:hanging="360"/>
      </w:pPr>
    </w:lvl>
    <w:lvl w:ilvl="1" w:tplc="8814DC28">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DD1D33"/>
    <w:multiLevelType w:val="multilevel"/>
    <w:tmpl w:val="74AEBE1A"/>
    <w:lvl w:ilvl="0">
      <w:start w:val="6"/>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37B44200"/>
    <w:multiLevelType w:val="hybridMultilevel"/>
    <w:tmpl w:val="905E0FB4"/>
    <w:lvl w:ilvl="0" w:tplc="AB14AD6C">
      <w:start w:val="1"/>
      <w:numFmt w:val="bullet"/>
      <w:lvlText w:val="•"/>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BE6888">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58AE7E">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E0E17A">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62D3A0">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AAE316">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D80810">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5EAF84">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E6E69C">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C94E59"/>
    <w:multiLevelType w:val="hybridMultilevel"/>
    <w:tmpl w:val="FA18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04078"/>
    <w:multiLevelType w:val="hybridMultilevel"/>
    <w:tmpl w:val="F8965318"/>
    <w:lvl w:ilvl="0" w:tplc="958C918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76DDC"/>
    <w:multiLevelType w:val="hybridMultilevel"/>
    <w:tmpl w:val="BBDC9D48"/>
    <w:lvl w:ilvl="0" w:tplc="958C9188">
      <w:start w:val="1"/>
      <w:numFmt w:val="bullet"/>
      <w:lvlText w:val="•"/>
      <w:lvlJc w:val="left"/>
      <w:pPr>
        <w:ind w:left="82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44140524"/>
    <w:multiLevelType w:val="hybridMultilevel"/>
    <w:tmpl w:val="E7646756"/>
    <w:lvl w:ilvl="0" w:tplc="958C918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463AA"/>
    <w:multiLevelType w:val="hybridMultilevel"/>
    <w:tmpl w:val="B3C62D48"/>
    <w:lvl w:ilvl="0" w:tplc="08090001">
      <w:start w:val="1"/>
      <w:numFmt w:val="bullet"/>
      <w:lvlText w:val=""/>
      <w:lvlJc w:val="left"/>
      <w:pPr>
        <w:ind w:left="1803" w:hanging="360"/>
      </w:pPr>
      <w:rPr>
        <w:rFonts w:ascii="Symbol" w:hAnsi="Symbol" w:hint="default"/>
      </w:rPr>
    </w:lvl>
    <w:lvl w:ilvl="1" w:tplc="FFFFFFFF" w:tentative="1">
      <w:start w:val="1"/>
      <w:numFmt w:val="bullet"/>
      <w:lvlText w:val="o"/>
      <w:lvlJc w:val="left"/>
      <w:pPr>
        <w:ind w:left="2523" w:hanging="360"/>
      </w:pPr>
      <w:rPr>
        <w:rFonts w:ascii="Courier New" w:hAnsi="Courier New" w:cs="Courier New" w:hint="default"/>
      </w:rPr>
    </w:lvl>
    <w:lvl w:ilvl="2" w:tplc="FFFFFFFF" w:tentative="1">
      <w:start w:val="1"/>
      <w:numFmt w:val="bullet"/>
      <w:lvlText w:val=""/>
      <w:lvlJc w:val="left"/>
      <w:pPr>
        <w:ind w:left="3243" w:hanging="360"/>
      </w:pPr>
      <w:rPr>
        <w:rFonts w:ascii="Wingdings" w:hAnsi="Wingdings" w:hint="default"/>
      </w:rPr>
    </w:lvl>
    <w:lvl w:ilvl="3" w:tplc="FFFFFFFF" w:tentative="1">
      <w:start w:val="1"/>
      <w:numFmt w:val="bullet"/>
      <w:lvlText w:val=""/>
      <w:lvlJc w:val="left"/>
      <w:pPr>
        <w:ind w:left="3963" w:hanging="360"/>
      </w:pPr>
      <w:rPr>
        <w:rFonts w:ascii="Symbol" w:hAnsi="Symbol" w:hint="default"/>
      </w:rPr>
    </w:lvl>
    <w:lvl w:ilvl="4" w:tplc="FFFFFFFF" w:tentative="1">
      <w:start w:val="1"/>
      <w:numFmt w:val="bullet"/>
      <w:lvlText w:val="o"/>
      <w:lvlJc w:val="left"/>
      <w:pPr>
        <w:ind w:left="4683" w:hanging="360"/>
      </w:pPr>
      <w:rPr>
        <w:rFonts w:ascii="Courier New" w:hAnsi="Courier New" w:cs="Courier New" w:hint="default"/>
      </w:rPr>
    </w:lvl>
    <w:lvl w:ilvl="5" w:tplc="FFFFFFFF" w:tentative="1">
      <w:start w:val="1"/>
      <w:numFmt w:val="bullet"/>
      <w:lvlText w:val=""/>
      <w:lvlJc w:val="left"/>
      <w:pPr>
        <w:ind w:left="5403" w:hanging="360"/>
      </w:pPr>
      <w:rPr>
        <w:rFonts w:ascii="Wingdings" w:hAnsi="Wingdings" w:hint="default"/>
      </w:rPr>
    </w:lvl>
    <w:lvl w:ilvl="6" w:tplc="FFFFFFFF" w:tentative="1">
      <w:start w:val="1"/>
      <w:numFmt w:val="bullet"/>
      <w:lvlText w:val=""/>
      <w:lvlJc w:val="left"/>
      <w:pPr>
        <w:ind w:left="6123" w:hanging="360"/>
      </w:pPr>
      <w:rPr>
        <w:rFonts w:ascii="Symbol" w:hAnsi="Symbol" w:hint="default"/>
      </w:rPr>
    </w:lvl>
    <w:lvl w:ilvl="7" w:tplc="FFFFFFFF" w:tentative="1">
      <w:start w:val="1"/>
      <w:numFmt w:val="bullet"/>
      <w:lvlText w:val="o"/>
      <w:lvlJc w:val="left"/>
      <w:pPr>
        <w:ind w:left="6843" w:hanging="360"/>
      </w:pPr>
      <w:rPr>
        <w:rFonts w:ascii="Courier New" w:hAnsi="Courier New" w:cs="Courier New" w:hint="default"/>
      </w:rPr>
    </w:lvl>
    <w:lvl w:ilvl="8" w:tplc="FFFFFFFF" w:tentative="1">
      <w:start w:val="1"/>
      <w:numFmt w:val="bullet"/>
      <w:lvlText w:val=""/>
      <w:lvlJc w:val="left"/>
      <w:pPr>
        <w:ind w:left="7563" w:hanging="360"/>
      </w:pPr>
      <w:rPr>
        <w:rFonts w:ascii="Wingdings" w:hAnsi="Wingdings" w:hint="default"/>
      </w:rPr>
    </w:lvl>
  </w:abstractNum>
  <w:abstractNum w:abstractNumId="22" w15:restartNumberingAfterBreak="0">
    <w:nsid w:val="46821F6F"/>
    <w:multiLevelType w:val="hybridMultilevel"/>
    <w:tmpl w:val="4BB4C930"/>
    <w:lvl w:ilvl="0" w:tplc="958C918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B21AF5"/>
    <w:multiLevelType w:val="hybridMultilevel"/>
    <w:tmpl w:val="B01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5668C"/>
    <w:multiLevelType w:val="hybridMultilevel"/>
    <w:tmpl w:val="C11A81A2"/>
    <w:lvl w:ilvl="0" w:tplc="99D4FD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B8B6620"/>
    <w:multiLevelType w:val="hybridMultilevel"/>
    <w:tmpl w:val="E828DE4A"/>
    <w:lvl w:ilvl="0" w:tplc="958C918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BC3414"/>
    <w:multiLevelType w:val="hybridMultilevel"/>
    <w:tmpl w:val="A434E192"/>
    <w:lvl w:ilvl="0" w:tplc="D586EE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C91F56"/>
    <w:multiLevelType w:val="multilevel"/>
    <w:tmpl w:val="41AA8B9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53B64704"/>
    <w:multiLevelType w:val="multilevel"/>
    <w:tmpl w:val="070EEED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40D351A"/>
    <w:multiLevelType w:val="hybridMultilevel"/>
    <w:tmpl w:val="B06A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28127B"/>
    <w:multiLevelType w:val="hybridMultilevel"/>
    <w:tmpl w:val="78DE5574"/>
    <w:lvl w:ilvl="0" w:tplc="958C918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003AC"/>
    <w:multiLevelType w:val="hybridMultilevel"/>
    <w:tmpl w:val="0F8E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EC6205"/>
    <w:multiLevelType w:val="hybridMultilevel"/>
    <w:tmpl w:val="525A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296728"/>
    <w:multiLevelType w:val="hybridMultilevel"/>
    <w:tmpl w:val="E79A9D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FA14B11"/>
    <w:multiLevelType w:val="multilevel"/>
    <w:tmpl w:val="41AA8B9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15:restartNumberingAfterBreak="0">
    <w:nsid w:val="71E959A4"/>
    <w:multiLevelType w:val="hybridMultilevel"/>
    <w:tmpl w:val="7C9E279C"/>
    <w:lvl w:ilvl="0" w:tplc="931C293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C12BDF"/>
    <w:multiLevelType w:val="multilevel"/>
    <w:tmpl w:val="86DC1F90"/>
    <w:lvl w:ilvl="0">
      <w:start w:val="6"/>
      <w:numFmt w:val="decimal"/>
      <w:lvlText w:val="%1"/>
      <w:lvlJc w:val="left"/>
      <w:pPr>
        <w:ind w:left="360" w:hanging="360"/>
      </w:pPr>
      <w:rPr>
        <w:rFonts w:hint="default"/>
      </w:rPr>
    </w:lvl>
    <w:lvl w:ilvl="1">
      <w:start w:val="6"/>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013F89"/>
    <w:multiLevelType w:val="hybridMultilevel"/>
    <w:tmpl w:val="78304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D35FE"/>
    <w:multiLevelType w:val="hybridMultilevel"/>
    <w:tmpl w:val="33CA5E14"/>
    <w:lvl w:ilvl="0" w:tplc="958C9188">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C201A41"/>
    <w:multiLevelType w:val="hybridMultilevel"/>
    <w:tmpl w:val="DADE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1828319">
    <w:abstractNumId w:val="24"/>
  </w:num>
  <w:num w:numId="2" w16cid:durableId="282269112">
    <w:abstractNumId w:val="9"/>
  </w:num>
  <w:num w:numId="3" w16cid:durableId="1416126474">
    <w:abstractNumId w:val="29"/>
  </w:num>
  <w:num w:numId="4" w16cid:durableId="520320440">
    <w:abstractNumId w:val="26"/>
  </w:num>
  <w:num w:numId="5" w16cid:durableId="1148671229">
    <w:abstractNumId w:val="0"/>
  </w:num>
  <w:num w:numId="6" w16cid:durableId="527565779">
    <w:abstractNumId w:val="23"/>
  </w:num>
  <w:num w:numId="7" w16cid:durableId="1500003759">
    <w:abstractNumId w:val="13"/>
  </w:num>
  <w:num w:numId="8" w16cid:durableId="1374185690">
    <w:abstractNumId w:val="39"/>
  </w:num>
  <w:num w:numId="9" w16cid:durableId="783115797">
    <w:abstractNumId w:val="37"/>
  </w:num>
  <w:num w:numId="10" w16cid:durableId="1661150000">
    <w:abstractNumId w:val="17"/>
  </w:num>
  <w:num w:numId="11" w16cid:durableId="1571621481">
    <w:abstractNumId w:val="1"/>
  </w:num>
  <w:num w:numId="12" w16cid:durableId="1462722432">
    <w:abstractNumId w:val="7"/>
  </w:num>
  <w:num w:numId="13" w16cid:durableId="933323354">
    <w:abstractNumId w:val="32"/>
  </w:num>
  <w:num w:numId="14" w16cid:durableId="1693066164">
    <w:abstractNumId w:val="25"/>
  </w:num>
  <w:num w:numId="15" w16cid:durableId="679817500">
    <w:abstractNumId w:val="18"/>
  </w:num>
  <w:num w:numId="16" w16cid:durableId="806975459">
    <w:abstractNumId w:val="6"/>
  </w:num>
  <w:num w:numId="17" w16cid:durableId="1639144720">
    <w:abstractNumId w:val="21"/>
  </w:num>
  <w:num w:numId="18" w16cid:durableId="38821337">
    <w:abstractNumId w:val="4"/>
  </w:num>
  <w:num w:numId="19" w16cid:durableId="44304993">
    <w:abstractNumId w:val="15"/>
  </w:num>
  <w:num w:numId="20" w16cid:durableId="325984684">
    <w:abstractNumId w:val="38"/>
  </w:num>
  <w:num w:numId="21" w16cid:durableId="1736007637">
    <w:abstractNumId w:val="28"/>
  </w:num>
  <w:num w:numId="22" w16cid:durableId="1984851757">
    <w:abstractNumId w:val="16"/>
  </w:num>
  <w:num w:numId="23" w16cid:durableId="368991389">
    <w:abstractNumId w:val="10"/>
  </w:num>
  <w:num w:numId="24" w16cid:durableId="1036545530">
    <w:abstractNumId w:val="2"/>
  </w:num>
  <w:num w:numId="25" w16cid:durableId="851184128">
    <w:abstractNumId w:val="3"/>
  </w:num>
  <w:num w:numId="26" w16cid:durableId="1522668880">
    <w:abstractNumId w:val="12"/>
  </w:num>
  <w:num w:numId="27" w16cid:durableId="201137597">
    <w:abstractNumId w:val="19"/>
  </w:num>
  <w:num w:numId="28" w16cid:durableId="1690059974">
    <w:abstractNumId w:val="22"/>
  </w:num>
  <w:num w:numId="29" w16cid:durableId="310795790">
    <w:abstractNumId w:val="30"/>
  </w:num>
  <w:num w:numId="30" w16cid:durableId="52702859">
    <w:abstractNumId w:val="20"/>
  </w:num>
  <w:num w:numId="31" w16cid:durableId="631834136">
    <w:abstractNumId w:val="15"/>
    <w:lvlOverride w:ilvl="0">
      <w:startOverride w:val="7"/>
    </w:lvlOverride>
    <w:lvlOverride w:ilvl="1">
      <w:startOverride w:val="1"/>
    </w:lvlOverride>
  </w:num>
  <w:num w:numId="32" w16cid:durableId="521171440">
    <w:abstractNumId w:val="31"/>
  </w:num>
  <w:num w:numId="33" w16cid:durableId="245040232">
    <w:abstractNumId w:val="36"/>
  </w:num>
  <w:num w:numId="34" w16cid:durableId="663094730">
    <w:abstractNumId w:val="14"/>
  </w:num>
  <w:num w:numId="35" w16cid:durableId="465516549">
    <w:abstractNumId w:val="27"/>
  </w:num>
  <w:num w:numId="36" w16cid:durableId="590939623">
    <w:abstractNumId w:val="11"/>
  </w:num>
  <w:num w:numId="37" w16cid:durableId="1089154181">
    <w:abstractNumId w:val="8"/>
  </w:num>
  <w:num w:numId="38" w16cid:durableId="1041130785">
    <w:abstractNumId w:val="35"/>
  </w:num>
  <w:num w:numId="39" w16cid:durableId="1044598302">
    <w:abstractNumId w:val="5"/>
  </w:num>
  <w:num w:numId="40" w16cid:durableId="991644746">
    <w:abstractNumId w:val="34"/>
  </w:num>
  <w:num w:numId="41" w16cid:durableId="11453170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65"/>
    <w:rsid w:val="000220AC"/>
    <w:rsid w:val="00037334"/>
    <w:rsid w:val="00043779"/>
    <w:rsid w:val="0007133F"/>
    <w:rsid w:val="00095E7D"/>
    <w:rsid w:val="000B37B2"/>
    <w:rsid w:val="000D3A9F"/>
    <w:rsid w:val="000D5232"/>
    <w:rsid w:val="000F285C"/>
    <w:rsid w:val="000F54F8"/>
    <w:rsid w:val="0010292A"/>
    <w:rsid w:val="00154A64"/>
    <w:rsid w:val="0016096A"/>
    <w:rsid w:val="00160F4F"/>
    <w:rsid w:val="00173FF4"/>
    <w:rsid w:val="00187994"/>
    <w:rsid w:val="001A7765"/>
    <w:rsid w:val="001B6925"/>
    <w:rsid w:val="001D1051"/>
    <w:rsid w:val="001D1A09"/>
    <w:rsid w:val="001E46A9"/>
    <w:rsid w:val="001F236E"/>
    <w:rsid w:val="001F4ADE"/>
    <w:rsid w:val="00212101"/>
    <w:rsid w:val="002323AF"/>
    <w:rsid w:val="00236E0D"/>
    <w:rsid w:val="00246FC4"/>
    <w:rsid w:val="00252D03"/>
    <w:rsid w:val="0026255B"/>
    <w:rsid w:val="002B0114"/>
    <w:rsid w:val="002B466A"/>
    <w:rsid w:val="002C3390"/>
    <w:rsid w:val="002F7B06"/>
    <w:rsid w:val="00325B71"/>
    <w:rsid w:val="003719D3"/>
    <w:rsid w:val="00375389"/>
    <w:rsid w:val="00383D11"/>
    <w:rsid w:val="003A6A4A"/>
    <w:rsid w:val="003C1185"/>
    <w:rsid w:val="003E326D"/>
    <w:rsid w:val="00437162"/>
    <w:rsid w:val="0044619F"/>
    <w:rsid w:val="00463CCF"/>
    <w:rsid w:val="00490D90"/>
    <w:rsid w:val="00493E06"/>
    <w:rsid w:val="004E03EE"/>
    <w:rsid w:val="004E11C1"/>
    <w:rsid w:val="004F220B"/>
    <w:rsid w:val="00514739"/>
    <w:rsid w:val="00521236"/>
    <w:rsid w:val="00537534"/>
    <w:rsid w:val="00542926"/>
    <w:rsid w:val="005433E4"/>
    <w:rsid w:val="00545F0A"/>
    <w:rsid w:val="005662AE"/>
    <w:rsid w:val="005C5774"/>
    <w:rsid w:val="005F1752"/>
    <w:rsid w:val="005F2ECF"/>
    <w:rsid w:val="006131F9"/>
    <w:rsid w:val="00646EA0"/>
    <w:rsid w:val="00647C84"/>
    <w:rsid w:val="00682575"/>
    <w:rsid w:val="006B3065"/>
    <w:rsid w:val="006C73EA"/>
    <w:rsid w:val="006D11A0"/>
    <w:rsid w:val="00713E8F"/>
    <w:rsid w:val="0075038D"/>
    <w:rsid w:val="00767DC0"/>
    <w:rsid w:val="007718FF"/>
    <w:rsid w:val="00775EBD"/>
    <w:rsid w:val="00793FFA"/>
    <w:rsid w:val="007B23FE"/>
    <w:rsid w:val="007B7BE1"/>
    <w:rsid w:val="007C3408"/>
    <w:rsid w:val="007F3A05"/>
    <w:rsid w:val="00813C71"/>
    <w:rsid w:val="00840AB9"/>
    <w:rsid w:val="008576EF"/>
    <w:rsid w:val="008700DB"/>
    <w:rsid w:val="00884DF3"/>
    <w:rsid w:val="008951AD"/>
    <w:rsid w:val="008C3F80"/>
    <w:rsid w:val="008E4B80"/>
    <w:rsid w:val="008F6274"/>
    <w:rsid w:val="009137DD"/>
    <w:rsid w:val="009146F9"/>
    <w:rsid w:val="00971057"/>
    <w:rsid w:val="009A1BDE"/>
    <w:rsid w:val="009A2594"/>
    <w:rsid w:val="009A6E2F"/>
    <w:rsid w:val="009A731B"/>
    <w:rsid w:val="009B398C"/>
    <w:rsid w:val="009C324A"/>
    <w:rsid w:val="009C397F"/>
    <w:rsid w:val="009E29A2"/>
    <w:rsid w:val="00A259DA"/>
    <w:rsid w:val="00A43A2D"/>
    <w:rsid w:val="00A515E2"/>
    <w:rsid w:val="00A5307A"/>
    <w:rsid w:val="00A63CDB"/>
    <w:rsid w:val="00AF3442"/>
    <w:rsid w:val="00B21DCA"/>
    <w:rsid w:val="00B33EB0"/>
    <w:rsid w:val="00B76A43"/>
    <w:rsid w:val="00B923B4"/>
    <w:rsid w:val="00BC3B9C"/>
    <w:rsid w:val="00BD4201"/>
    <w:rsid w:val="00C75F39"/>
    <w:rsid w:val="00C82F56"/>
    <w:rsid w:val="00CA1292"/>
    <w:rsid w:val="00CC163F"/>
    <w:rsid w:val="00D10494"/>
    <w:rsid w:val="00D1310A"/>
    <w:rsid w:val="00D25BE6"/>
    <w:rsid w:val="00D27916"/>
    <w:rsid w:val="00D4788E"/>
    <w:rsid w:val="00D6303A"/>
    <w:rsid w:val="00D83E15"/>
    <w:rsid w:val="00D86671"/>
    <w:rsid w:val="00D86BD0"/>
    <w:rsid w:val="00DA1EE6"/>
    <w:rsid w:val="00DB5161"/>
    <w:rsid w:val="00E15472"/>
    <w:rsid w:val="00E336DE"/>
    <w:rsid w:val="00E445AB"/>
    <w:rsid w:val="00E60534"/>
    <w:rsid w:val="00E67C8A"/>
    <w:rsid w:val="00E82711"/>
    <w:rsid w:val="00E87B84"/>
    <w:rsid w:val="00E90F45"/>
    <w:rsid w:val="00EC553A"/>
    <w:rsid w:val="00EE6678"/>
    <w:rsid w:val="00EF6F8D"/>
    <w:rsid w:val="00F17122"/>
    <w:rsid w:val="00F3314F"/>
    <w:rsid w:val="00F5046A"/>
    <w:rsid w:val="00F53AD3"/>
    <w:rsid w:val="00F5594B"/>
    <w:rsid w:val="00F55981"/>
    <w:rsid w:val="00F56281"/>
    <w:rsid w:val="00F60AC5"/>
    <w:rsid w:val="00F70CE2"/>
    <w:rsid w:val="00FA514A"/>
    <w:rsid w:val="00FD725C"/>
    <w:rsid w:val="00FF2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70C29"/>
  <w15:chartTrackingRefBased/>
  <w15:docId w15:val="{5BBC02A5-05E2-4339-8CEA-77635CCA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autoRedefine/>
    <w:uiPriority w:val="9"/>
    <w:unhideWhenUsed/>
    <w:qFormat/>
    <w:rsid w:val="00236E0D"/>
    <w:pPr>
      <w:keepNext/>
      <w:keepLines/>
      <w:numPr>
        <w:numId w:val="36"/>
      </w:numPr>
      <w:spacing w:before="240" w:after="0"/>
      <w:ind w:left="284" w:hanging="284"/>
      <w:outlineLvl w:val="1"/>
    </w:pPr>
    <w:rPr>
      <w:rFonts w:eastAsia="Trebuchet MS" w:cstheme="minorHAnsi"/>
      <w:b/>
      <w:color w:val="000000"/>
      <w:lang w:eastAsia="en-GB"/>
    </w:rPr>
  </w:style>
  <w:style w:type="paragraph" w:styleId="Heading3">
    <w:name w:val="heading 3"/>
    <w:basedOn w:val="Normal"/>
    <w:next w:val="Normal"/>
    <w:link w:val="Heading3Char"/>
    <w:autoRedefine/>
    <w:uiPriority w:val="9"/>
    <w:unhideWhenUsed/>
    <w:qFormat/>
    <w:rsid w:val="00E60534"/>
    <w:pPr>
      <w:keepNext/>
      <w:keepLines/>
      <w:numPr>
        <w:ilvl w:val="1"/>
        <w:numId w:val="36"/>
      </w:numPr>
      <w:spacing w:before="40" w:after="0"/>
      <w:ind w:left="924" w:hanging="357"/>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765"/>
    <w:pPr>
      <w:ind w:left="720"/>
      <w:contextualSpacing/>
    </w:pPr>
  </w:style>
  <w:style w:type="character" w:styleId="Hyperlink">
    <w:name w:val="Hyperlink"/>
    <w:basedOn w:val="DefaultParagraphFont"/>
    <w:uiPriority w:val="99"/>
    <w:unhideWhenUsed/>
    <w:rsid w:val="00212101"/>
    <w:rPr>
      <w:color w:val="0000FF"/>
      <w:u w:val="single"/>
    </w:rPr>
  </w:style>
  <w:style w:type="character" w:customStyle="1" w:styleId="Heading1Char">
    <w:name w:val="Heading 1 Char"/>
    <w:basedOn w:val="DefaultParagraphFont"/>
    <w:link w:val="Heading1"/>
    <w:uiPriority w:val="9"/>
    <w:rsid w:val="00B33EB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33EB0"/>
    <w:pPr>
      <w:outlineLvl w:val="9"/>
    </w:pPr>
    <w:rPr>
      <w:lang w:val="en-US"/>
    </w:rPr>
  </w:style>
  <w:style w:type="character" w:styleId="CommentReference">
    <w:name w:val="annotation reference"/>
    <w:basedOn w:val="DefaultParagraphFont"/>
    <w:uiPriority w:val="99"/>
    <w:semiHidden/>
    <w:unhideWhenUsed/>
    <w:rsid w:val="006D11A0"/>
    <w:rPr>
      <w:sz w:val="16"/>
      <w:szCs w:val="16"/>
    </w:rPr>
  </w:style>
  <w:style w:type="paragraph" w:styleId="CommentText">
    <w:name w:val="annotation text"/>
    <w:basedOn w:val="Normal"/>
    <w:link w:val="CommentTextChar"/>
    <w:uiPriority w:val="99"/>
    <w:semiHidden/>
    <w:unhideWhenUsed/>
    <w:rsid w:val="006D11A0"/>
    <w:pPr>
      <w:spacing w:line="240" w:lineRule="auto"/>
    </w:pPr>
    <w:rPr>
      <w:sz w:val="20"/>
      <w:szCs w:val="20"/>
    </w:rPr>
  </w:style>
  <w:style w:type="character" w:customStyle="1" w:styleId="CommentTextChar">
    <w:name w:val="Comment Text Char"/>
    <w:basedOn w:val="DefaultParagraphFont"/>
    <w:link w:val="CommentText"/>
    <w:uiPriority w:val="99"/>
    <w:semiHidden/>
    <w:rsid w:val="006D11A0"/>
    <w:rPr>
      <w:sz w:val="20"/>
      <w:szCs w:val="20"/>
    </w:rPr>
  </w:style>
  <w:style w:type="paragraph" w:styleId="CommentSubject">
    <w:name w:val="annotation subject"/>
    <w:basedOn w:val="CommentText"/>
    <w:next w:val="CommentText"/>
    <w:link w:val="CommentSubjectChar"/>
    <w:uiPriority w:val="99"/>
    <w:semiHidden/>
    <w:unhideWhenUsed/>
    <w:rsid w:val="006D11A0"/>
    <w:rPr>
      <w:b/>
      <w:bCs/>
    </w:rPr>
  </w:style>
  <w:style w:type="character" w:customStyle="1" w:styleId="CommentSubjectChar">
    <w:name w:val="Comment Subject Char"/>
    <w:basedOn w:val="CommentTextChar"/>
    <w:link w:val="CommentSubject"/>
    <w:uiPriority w:val="99"/>
    <w:semiHidden/>
    <w:rsid w:val="006D11A0"/>
    <w:rPr>
      <w:b/>
      <w:bCs/>
      <w:sz w:val="20"/>
      <w:szCs w:val="20"/>
    </w:rPr>
  </w:style>
  <w:style w:type="character" w:customStyle="1" w:styleId="ui-provider">
    <w:name w:val="ui-provider"/>
    <w:basedOn w:val="DefaultParagraphFont"/>
    <w:rsid w:val="006D11A0"/>
  </w:style>
  <w:style w:type="character" w:styleId="UnresolvedMention">
    <w:name w:val="Unresolved Mention"/>
    <w:basedOn w:val="DefaultParagraphFont"/>
    <w:uiPriority w:val="99"/>
    <w:semiHidden/>
    <w:unhideWhenUsed/>
    <w:rsid w:val="00187994"/>
    <w:rPr>
      <w:color w:val="605E5C"/>
      <w:shd w:val="clear" w:color="auto" w:fill="E1DFDD"/>
    </w:rPr>
  </w:style>
  <w:style w:type="paragraph" w:styleId="NoSpacing">
    <w:name w:val="No Spacing"/>
    <w:uiPriority w:val="1"/>
    <w:qFormat/>
    <w:rsid w:val="00D6303A"/>
    <w:pPr>
      <w:spacing w:after="0" w:line="240" w:lineRule="auto"/>
    </w:pPr>
  </w:style>
  <w:style w:type="table" w:styleId="TableGrid">
    <w:name w:val="Table Grid"/>
    <w:basedOn w:val="TableNormal"/>
    <w:uiPriority w:val="39"/>
    <w:rsid w:val="00D63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36E0D"/>
    <w:rPr>
      <w:rFonts w:eastAsia="Trebuchet MS" w:cstheme="minorHAnsi"/>
      <w:b/>
      <w:color w:val="000000"/>
      <w:lang w:eastAsia="en-GB"/>
    </w:rPr>
  </w:style>
  <w:style w:type="paragraph" w:styleId="Header">
    <w:name w:val="header"/>
    <w:basedOn w:val="Normal"/>
    <w:link w:val="HeaderChar"/>
    <w:uiPriority w:val="99"/>
    <w:unhideWhenUsed/>
    <w:rsid w:val="004E03EE"/>
    <w:pPr>
      <w:tabs>
        <w:tab w:val="center" w:pos="4513"/>
        <w:tab w:val="right" w:pos="9026"/>
      </w:tabs>
      <w:spacing w:after="0" w:line="240" w:lineRule="auto"/>
      <w:ind w:left="130" w:right="75" w:hanging="10"/>
      <w:jc w:val="both"/>
    </w:pPr>
    <w:rPr>
      <w:rFonts w:ascii="Tahoma" w:eastAsia="Tahoma" w:hAnsi="Tahoma" w:cs="Tahoma"/>
      <w:color w:val="000000"/>
      <w:sz w:val="24"/>
      <w:lang w:eastAsia="en-GB"/>
    </w:rPr>
  </w:style>
  <w:style w:type="character" w:customStyle="1" w:styleId="HeaderChar">
    <w:name w:val="Header Char"/>
    <w:basedOn w:val="DefaultParagraphFont"/>
    <w:link w:val="Header"/>
    <w:uiPriority w:val="99"/>
    <w:rsid w:val="004E03EE"/>
    <w:rPr>
      <w:rFonts w:ascii="Tahoma" w:eastAsia="Tahoma" w:hAnsi="Tahoma" w:cs="Tahoma"/>
      <w:color w:val="000000"/>
      <w:sz w:val="24"/>
      <w:lang w:eastAsia="en-GB"/>
    </w:rPr>
  </w:style>
  <w:style w:type="paragraph" w:styleId="Footer">
    <w:name w:val="footer"/>
    <w:basedOn w:val="Normal"/>
    <w:link w:val="FooterChar"/>
    <w:uiPriority w:val="99"/>
    <w:unhideWhenUsed/>
    <w:rsid w:val="004E03EE"/>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4E03EE"/>
    <w:rPr>
      <w:rFonts w:eastAsiaTheme="minorEastAsia" w:cs="Times New Roman"/>
      <w:lang w:val="en-US"/>
    </w:rPr>
  </w:style>
  <w:style w:type="paragraph" w:styleId="Revision">
    <w:name w:val="Revision"/>
    <w:hidden/>
    <w:uiPriority w:val="99"/>
    <w:semiHidden/>
    <w:rsid w:val="00246FC4"/>
    <w:pPr>
      <w:spacing w:after="0" w:line="240" w:lineRule="auto"/>
    </w:pPr>
  </w:style>
  <w:style w:type="character" w:styleId="FollowedHyperlink">
    <w:name w:val="FollowedHyperlink"/>
    <w:basedOn w:val="DefaultParagraphFont"/>
    <w:uiPriority w:val="99"/>
    <w:semiHidden/>
    <w:unhideWhenUsed/>
    <w:rsid w:val="003E326D"/>
    <w:rPr>
      <w:color w:val="954F72" w:themeColor="followedHyperlink"/>
      <w:u w:val="single"/>
    </w:rPr>
  </w:style>
  <w:style w:type="character" w:customStyle="1" w:styleId="Heading3Char">
    <w:name w:val="Heading 3 Char"/>
    <w:basedOn w:val="DefaultParagraphFont"/>
    <w:link w:val="Heading3"/>
    <w:uiPriority w:val="9"/>
    <w:rsid w:val="00E60534"/>
    <w:rPr>
      <w:rFonts w:eastAsiaTheme="majorEastAsia" w:cstheme="majorBidi"/>
      <w:b/>
      <w:szCs w:val="24"/>
    </w:rPr>
  </w:style>
  <w:style w:type="paragraph" w:styleId="TOC1">
    <w:name w:val="toc 1"/>
    <w:basedOn w:val="Normal"/>
    <w:next w:val="Normal"/>
    <w:autoRedefine/>
    <w:uiPriority w:val="39"/>
    <w:unhideWhenUsed/>
    <w:rsid w:val="00E60534"/>
    <w:pPr>
      <w:spacing w:after="100"/>
    </w:pPr>
  </w:style>
  <w:style w:type="paragraph" w:styleId="TOC2">
    <w:name w:val="toc 2"/>
    <w:basedOn w:val="Normal"/>
    <w:next w:val="Normal"/>
    <w:autoRedefine/>
    <w:uiPriority w:val="39"/>
    <w:unhideWhenUsed/>
    <w:rsid w:val="00E60534"/>
    <w:pPr>
      <w:spacing w:after="100"/>
      <w:ind w:left="220"/>
    </w:pPr>
  </w:style>
  <w:style w:type="paragraph" w:styleId="TOC3">
    <w:name w:val="toc 3"/>
    <w:basedOn w:val="Normal"/>
    <w:next w:val="Normal"/>
    <w:autoRedefine/>
    <w:uiPriority w:val="39"/>
    <w:unhideWhenUsed/>
    <w:rsid w:val="00E6053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5734">
      <w:bodyDiv w:val="1"/>
      <w:marLeft w:val="0"/>
      <w:marRight w:val="0"/>
      <w:marTop w:val="0"/>
      <w:marBottom w:val="0"/>
      <w:divBdr>
        <w:top w:val="none" w:sz="0" w:space="0" w:color="auto"/>
        <w:left w:val="none" w:sz="0" w:space="0" w:color="auto"/>
        <w:bottom w:val="none" w:sz="0" w:space="0" w:color="auto"/>
        <w:right w:val="none" w:sz="0" w:space="0" w:color="auto"/>
      </w:divBdr>
    </w:div>
    <w:div w:id="776026001">
      <w:bodyDiv w:val="1"/>
      <w:marLeft w:val="0"/>
      <w:marRight w:val="0"/>
      <w:marTop w:val="0"/>
      <w:marBottom w:val="0"/>
      <w:divBdr>
        <w:top w:val="none" w:sz="0" w:space="0" w:color="auto"/>
        <w:left w:val="none" w:sz="0" w:space="0" w:color="auto"/>
        <w:bottom w:val="none" w:sz="0" w:space="0" w:color="auto"/>
        <w:right w:val="none" w:sz="0" w:space="0" w:color="auto"/>
      </w:divBdr>
    </w:div>
    <w:div w:id="1491369078">
      <w:bodyDiv w:val="1"/>
      <w:marLeft w:val="0"/>
      <w:marRight w:val="0"/>
      <w:marTop w:val="0"/>
      <w:marBottom w:val="0"/>
      <w:divBdr>
        <w:top w:val="none" w:sz="0" w:space="0" w:color="auto"/>
        <w:left w:val="none" w:sz="0" w:space="0" w:color="auto"/>
        <w:bottom w:val="none" w:sz="0" w:space="0" w:color="auto"/>
        <w:right w:val="none" w:sz="0" w:space="0" w:color="auto"/>
      </w:divBdr>
    </w:div>
    <w:div w:id="1501773195">
      <w:bodyDiv w:val="1"/>
      <w:marLeft w:val="0"/>
      <w:marRight w:val="0"/>
      <w:marTop w:val="0"/>
      <w:marBottom w:val="0"/>
      <w:divBdr>
        <w:top w:val="none" w:sz="0" w:space="0" w:color="auto"/>
        <w:left w:val="none" w:sz="0" w:space="0" w:color="auto"/>
        <w:bottom w:val="none" w:sz="0" w:space="0" w:color="auto"/>
        <w:right w:val="none" w:sz="0" w:space="0" w:color="auto"/>
      </w:divBdr>
    </w:div>
    <w:div w:id="1647009695">
      <w:bodyDiv w:val="1"/>
      <w:marLeft w:val="0"/>
      <w:marRight w:val="0"/>
      <w:marTop w:val="0"/>
      <w:marBottom w:val="0"/>
      <w:divBdr>
        <w:top w:val="none" w:sz="0" w:space="0" w:color="auto"/>
        <w:left w:val="none" w:sz="0" w:space="0" w:color="auto"/>
        <w:bottom w:val="none" w:sz="0" w:space="0" w:color="auto"/>
        <w:right w:val="none" w:sz="0" w:space="0" w:color="auto"/>
      </w:divBdr>
    </w:div>
    <w:div w:id="200234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socialcareonline.org.uk/out-of-area-safeguarding-adults-arrangements-guidance-for-inter-authority-safeguarding-adults-enquiry-and-protection-arrangements/r/a11G000000MGnlEIAT" TargetMode="External"/><Relationship Id="rId18" Type="http://schemas.openxmlformats.org/officeDocument/2006/relationships/hyperlink" Target="https://www.cqc.org.uk/about-us/how-we-do-our-job/registering-monitoring-services" TargetMode="External"/><Relationship Id="rId26" Type="http://schemas.openxmlformats.org/officeDocument/2006/relationships/hyperlink" Target="https://safeguarding.calderdale.gov.uk/professionals/safeguarding-adults/" TargetMode="External"/><Relationship Id="rId3" Type="http://schemas.openxmlformats.org/officeDocument/2006/relationships/styles" Target="styles.xml"/><Relationship Id="rId21" Type="http://schemas.openxmlformats.org/officeDocument/2006/relationships/hyperlink" Target="https://www.cqc.org.uk/about-us/fundamental-standards" TargetMode="External"/><Relationship Id="rId7" Type="http://schemas.openxmlformats.org/officeDocument/2006/relationships/endnotes" Target="endnotes.xml"/><Relationship Id="rId12" Type="http://schemas.openxmlformats.org/officeDocument/2006/relationships/hyperlink" Target="https://wynyy.trixonline.co.uk/" TargetMode="External"/><Relationship Id="rId17" Type="http://schemas.openxmlformats.org/officeDocument/2006/relationships/hyperlink" Target="https://www.adass.org.uk/media/5414/adass-guidance-inter-authority-safeguarding-arrangements-june-2016.pdf" TargetMode="External"/><Relationship Id="rId25" Type="http://schemas.openxmlformats.org/officeDocument/2006/relationships/hyperlink" Target="https://www.bing.com/ck/a?!&amp;&amp;p=bac652149a202f07JmltdHM9MTY2OTg1MjgwMCZpZ3VpZD0zYjc3MjQyYS02ZTEyLTY2YjEtMGRjZS0zNjc2NmY0YTY3ZmYmaW5zaWQ9NTU2Mg&amp;ptn=3&amp;hsh=3&amp;fclid=3b77242a-6e12-66b1-0dce-36766f4a67ff&amp;psq=calderdale+gateway+to+care+number&amp;u=a1dGVsOjAxNDIyMjg4MDAx&amp;ntb=1" TargetMode="External"/><Relationship Id="rId2" Type="http://schemas.openxmlformats.org/officeDocument/2006/relationships/numbering" Target="numbering.xml"/><Relationship Id="rId16" Type="http://schemas.openxmlformats.org/officeDocument/2006/relationships/hyperlink" Target="https://www.legislation.gov.uk/ukpga/2007/19/contents" TargetMode="External"/><Relationship Id="rId20" Type="http://schemas.openxmlformats.org/officeDocument/2006/relationships/hyperlink" Target="https://www.cqc.org.uk/about-us/how-we-do-our-job/taking-ac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89/resources/indicators-of-organisational-abuse-and-neglect-pdf-9013017710"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legislation.gov.uk/ukpga/2015/2/section/21/enacted" TargetMode="External"/><Relationship Id="rId23" Type="http://schemas.openxmlformats.org/officeDocument/2006/relationships/hyperlink" Target="https://wynyy.trixonline.co.uk/" TargetMode="External"/><Relationship Id="rId28" Type="http://schemas.openxmlformats.org/officeDocument/2006/relationships/package" Target="embeddings/Microsoft_Excel_Worksheet.xlsx"/><Relationship Id="rId10" Type="http://schemas.openxmlformats.org/officeDocument/2006/relationships/hyperlink" Target="https://wynyy-calderdale.trixonline.co.uk/" TargetMode="External"/><Relationship Id="rId19" Type="http://schemas.openxmlformats.org/officeDocument/2006/relationships/hyperlink" Target="https://www.cqc.org.uk/about-us/how-we-do-our-job/rating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ynyy.trixonline.co.uk/" TargetMode="External"/><Relationship Id="rId22" Type="http://schemas.openxmlformats.org/officeDocument/2006/relationships/hyperlink" Target="https://www.cqc.org.uk/about-us/fundamental-standards" TargetMode="Externa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597A-27A8-4004-8CAC-C60DD7FE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8743</Words>
  <Characters>49841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Sutherland</dc:creator>
  <cp:keywords/>
  <dc:description/>
  <cp:lastModifiedBy>admin </cp:lastModifiedBy>
  <cp:revision>2</cp:revision>
  <cp:lastPrinted>2024-01-25T09:46:00Z</cp:lastPrinted>
  <dcterms:created xsi:type="dcterms:W3CDTF">2024-02-12T17:29:00Z</dcterms:created>
  <dcterms:modified xsi:type="dcterms:W3CDTF">2024-02-12T17:29:00Z</dcterms:modified>
</cp:coreProperties>
</file>